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04" w:rsidRPr="00E02570" w:rsidRDefault="00477EDE" w:rsidP="00937CFC">
      <w:pPr>
        <w:pStyle w:val="2"/>
        <w:rPr>
          <w:b w:val="0"/>
          <w:sz w:val="28"/>
          <w:szCs w:val="28"/>
        </w:rPr>
      </w:pPr>
      <w:bookmarkStart w:id="0" w:name="_GoBack"/>
      <w:bookmarkEnd w:id="0"/>
      <w:r w:rsidRPr="00E02570">
        <w:rPr>
          <w:noProof/>
          <w:sz w:val="28"/>
          <w:szCs w:val="28"/>
        </w:rPr>
        <w:drawing>
          <wp:inline distT="0" distB="0" distL="0" distR="0" wp14:anchorId="29FEC7C6" wp14:editId="2E42B605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E02570" w:rsidRDefault="00937CFC" w:rsidP="00937CFC">
      <w:pPr>
        <w:pStyle w:val="2"/>
        <w:rPr>
          <w:sz w:val="28"/>
          <w:szCs w:val="28"/>
        </w:rPr>
      </w:pPr>
      <w:r w:rsidRPr="00E02570">
        <w:rPr>
          <w:sz w:val="28"/>
          <w:szCs w:val="28"/>
        </w:rPr>
        <w:t>АДМИНИСТРАЦИЯ ТАЦИНСКОГО  СЕЛЬСКОГО ПОСЕЛЕНИЯ</w:t>
      </w:r>
    </w:p>
    <w:p w:rsidR="00937CFC" w:rsidRPr="00E02570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570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E02570" w:rsidRDefault="00A66C33" w:rsidP="00937CFC">
      <w:pPr>
        <w:rPr>
          <w:rFonts w:ascii="Times New Roman" w:hAnsi="Times New Roman" w:cs="Times New Roman"/>
          <w:sz w:val="28"/>
          <w:szCs w:val="28"/>
        </w:rPr>
      </w:pPr>
      <w:r w:rsidRPr="00E025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4DB568" wp14:editId="50353D95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937CFC" w:rsidRPr="00E02570">
        <w:rPr>
          <w:rFonts w:ascii="Times New Roman" w:hAnsi="Times New Roman" w:cs="Times New Roman"/>
          <w:sz w:val="28"/>
          <w:szCs w:val="28"/>
        </w:rPr>
        <w:tab/>
      </w:r>
    </w:p>
    <w:p w:rsidR="00937CFC" w:rsidRPr="00E02570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E02570">
        <w:rPr>
          <w:sz w:val="28"/>
          <w:szCs w:val="28"/>
          <w:lang w:val="ru-RU"/>
        </w:rPr>
        <w:t>ПОСТАНОВЛЕНИЕ</w:t>
      </w:r>
    </w:p>
    <w:p w:rsidR="00937CFC" w:rsidRPr="00E02570" w:rsidRDefault="00466C9B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ab/>
      </w:r>
    </w:p>
    <w:p w:rsidR="00937CFC" w:rsidRPr="00E02570" w:rsidRDefault="00B065C4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24</w:t>
      </w:r>
      <w:r w:rsidR="00FF2685" w:rsidRPr="00E02570">
        <w:rPr>
          <w:b w:val="0"/>
          <w:sz w:val="28"/>
          <w:szCs w:val="28"/>
          <w:lang w:val="ru-RU"/>
        </w:rPr>
        <w:t xml:space="preserve"> </w:t>
      </w:r>
      <w:r w:rsidR="00542E4D" w:rsidRPr="00E02570">
        <w:rPr>
          <w:b w:val="0"/>
          <w:sz w:val="28"/>
          <w:szCs w:val="28"/>
          <w:lang w:val="ru-RU"/>
        </w:rPr>
        <w:t xml:space="preserve"> </w:t>
      </w:r>
      <w:r w:rsidR="00753B96" w:rsidRPr="00E02570">
        <w:rPr>
          <w:b w:val="0"/>
          <w:sz w:val="28"/>
          <w:szCs w:val="28"/>
          <w:lang w:val="ru-RU"/>
        </w:rPr>
        <w:t xml:space="preserve"> ию</w:t>
      </w:r>
      <w:r w:rsidR="00542E4D" w:rsidRPr="00E02570">
        <w:rPr>
          <w:b w:val="0"/>
          <w:sz w:val="28"/>
          <w:szCs w:val="28"/>
          <w:lang w:val="ru-RU"/>
        </w:rPr>
        <w:t>н</w:t>
      </w:r>
      <w:r w:rsidR="00753B96" w:rsidRPr="00E02570">
        <w:rPr>
          <w:b w:val="0"/>
          <w:sz w:val="28"/>
          <w:szCs w:val="28"/>
          <w:lang w:val="ru-RU"/>
        </w:rPr>
        <w:t>я</w:t>
      </w:r>
      <w:r w:rsidR="00905BA1" w:rsidRPr="00E02570">
        <w:rPr>
          <w:b w:val="0"/>
          <w:sz w:val="28"/>
          <w:szCs w:val="28"/>
          <w:lang w:val="ru-RU"/>
        </w:rPr>
        <w:t xml:space="preserve"> 201</w:t>
      </w:r>
      <w:r w:rsidR="009243EA" w:rsidRPr="00E02570">
        <w:rPr>
          <w:b w:val="0"/>
          <w:sz w:val="28"/>
          <w:szCs w:val="28"/>
          <w:lang w:val="ru-RU"/>
        </w:rPr>
        <w:t>6</w:t>
      </w:r>
      <w:r w:rsidR="003030F2" w:rsidRPr="00E02570">
        <w:rPr>
          <w:b w:val="0"/>
          <w:sz w:val="28"/>
          <w:szCs w:val="28"/>
          <w:lang w:val="ru-RU"/>
        </w:rPr>
        <w:t xml:space="preserve"> </w:t>
      </w:r>
      <w:r w:rsidR="00937CFC" w:rsidRPr="00E02570">
        <w:rPr>
          <w:b w:val="0"/>
          <w:sz w:val="28"/>
          <w:szCs w:val="28"/>
          <w:lang w:val="ru-RU"/>
        </w:rPr>
        <w:t>г.                          №</w:t>
      </w:r>
      <w:r w:rsidR="00D96231" w:rsidRPr="00E02570">
        <w:rPr>
          <w:b w:val="0"/>
          <w:sz w:val="28"/>
          <w:szCs w:val="28"/>
          <w:lang w:val="ru-RU"/>
        </w:rPr>
        <w:t xml:space="preserve"> </w:t>
      </w:r>
      <w:r w:rsidR="00937CFC" w:rsidRPr="00E02570">
        <w:rPr>
          <w:b w:val="0"/>
          <w:color w:val="FF0000"/>
          <w:sz w:val="28"/>
          <w:szCs w:val="28"/>
          <w:lang w:val="ru-RU"/>
        </w:rPr>
        <w:t xml:space="preserve">  </w:t>
      </w:r>
      <w:r w:rsidR="00937CFC" w:rsidRPr="00E02570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>253</w:t>
      </w:r>
      <w:r w:rsidR="002651F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а</w:t>
      </w:r>
      <w:r w:rsidR="00937CFC" w:rsidRPr="00E02570">
        <w:rPr>
          <w:b w:val="0"/>
          <w:sz w:val="28"/>
          <w:szCs w:val="28"/>
          <w:lang w:val="ru-RU"/>
        </w:rPr>
        <w:t xml:space="preserve">                        ст.</w:t>
      </w:r>
      <w:r w:rsidR="003030F2" w:rsidRPr="00E02570">
        <w:rPr>
          <w:b w:val="0"/>
          <w:sz w:val="28"/>
          <w:szCs w:val="28"/>
          <w:lang w:val="ru-RU"/>
        </w:rPr>
        <w:t xml:space="preserve"> </w:t>
      </w:r>
      <w:r w:rsidR="00937CFC" w:rsidRPr="00E02570">
        <w:rPr>
          <w:b w:val="0"/>
          <w:sz w:val="28"/>
          <w:szCs w:val="28"/>
          <w:lang w:val="ru-RU"/>
        </w:rPr>
        <w:t>Тацинская</w:t>
      </w:r>
    </w:p>
    <w:p w:rsidR="00937CFC" w:rsidRPr="00E02570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937CFC" w:rsidRPr="00E02570" w:rsidTr="00127EC3">
        <w:tc>
          <w:tcPr>
            <w:tcW w:w="4644" w:type="dxa"/>
          </w:tcPr>
          <w:p w:rsidR="00937CFC" w:rsidRPr="00E02570" w:rsidRDefault="00542E4D" w:rsidP="0054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плексного развития  транспортной  инфраструктуры Тацинского сел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2016 – 202</w:t>
            </w:r>
            <w:r w:rsidR="00A15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2570">
              <w:rPr>
                <w:rFonts w:ascii="Times New Roman" w:hAnsi="Times New Roman" w:cs="Times New Roman"/>
                <w:sz w:val="28"/>
                <w:szCs w:val="28"/>
              </w:rPr>
              <w:t>ды»</w:t>
            </w:r>
          </w:p>
          <w:p w:rsidR="00542E4D" w:rsidRPr="00E02570" w:rsidRDefault="00542E4D" w:rsidP="00542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577" w:rsidRPr="00E02570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937CFC" w:rsidRPr="00E02570" w:rsidRDefault="002C340E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>Р</w:t>
      </w:r>
      <w:r w:rsidR="00FB2B9D" w:rsidRPr="00E02570">
        <w:rPr>
          <w:b w:val="0"/>
          <w:sz w:val="28"/>
          <w:szCs w:val="28"/>
          <w:lang w:val="ru-RU"/>
        </w:rPr>
        <w:t>уководствуясь ч. 8 ст. 47 Устава муниципального образования «Т</w:t>
      </w:r>
      <w:r w:rsidR="00FB2B9D" w:rsidRPr="00E02570">
        <w:rPr>
          <w:b w:val="0"/>
          <w:sz w:val="28"/>
          <w:szCs w:val="28"/>
          <w:lang w:val="ru-RU"/>
        </w:rPr>
        <w:t>а</w:t>
      </w:r>
      <w:r w:rsidR="00FB2B9D" w:rsidRPr="00E02570">
        <w:rPr>
          <w:b w:val="0"/>
          <w:sz w:val="28"/>
          <w:szCs w:val="28"/>
          <w:lang w:val="ru-RU"/>
        </w:rPr>
        <w:t>цинское сельское  поселение»</w:t>
      </w:r>
      <w:r w:rsidR="000303DF" w:rsidRPr="00E02570">
        <w:rPr>
          <w:b w:val="0"/>
          <w:sz w:val="28"/>
          <w:szCs w:val="28"/>
          <w:lang w:val="ru-RU"/>
        </w:rPr>
        <w:t>,-</w:t>
      </w:r>
    </w:p>
    <w:p w:rsidR="00937CFC" w:rsidRPr="00E02570" w:rsidRDefault="00937CFC" w:rsidP="003030F2">
      <w:pPr>
        <w:pStyle w:val="a3"/>
        <w:jc w:val="center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>П О С Т А Н О В Л Я Ю :</w:t>
      </w:r>
    </w:p>
    <w:p w:rsidR="00937CFC" w:rsidRPr="00E02570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E02570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>1</w:t>
      </w:r>
      <w:r w:rsidR="000303DF" w:rsidRPr="00E02570">
        <w:rPr>
          <w:b w:val="0"/>
          <w:sz w:val="28"/>
          <w:szCs w:val="28"/>
          <w:lang w:val="ru-RU"/>
        </w:rPr>
        <w:t>.</w:t>
      </w:r>
      <w:r w:rsidR="003030F2" w:rsidRPr="00E02570">
        <w:rPr>
          <w:b w:val="0"/>
          <w:sz w:val="28"/>
          <w:szCs w:val="28"/>
          <w:lang w:val="ru-RU"/>
        </w:rPr>
        <w:t xml:space="preserve"> </w:t>
      </w:r>
      <w:r w:rsidR="00542E4D" w:rsidRPr="00E02570">
        <w:rPr>
          <w:b w:val="0"/>
          <w:sz w:val="28"/>
          <w:szCs w:val="28"/>
          <w:lang w:val="ru-RU"/>
        </w:rPr>
        <w:t xml:space="preserve"> Утвердить программу </w:t>
      </w:r>
      <w:r w:rsidR="00017DC9" w:rsidRPr="00E02570">
        <w:rPr>
          <w:b w:val="0"/>
          <w:sz w:val="28"/>
          <w:szCs w:val="28"/>
          <w:lang w:val="ru-RU"/>
        </w:rPr>
        <w:t xml:space="preserve"> </w:t>
      </w:r>
      <w:r w:rsidR="00542E4D" w:rsidRPr="00E02570">
        <w:rPr>
          <w:b w:val="0"/>
          <w:sz w:val="28"/>
          <w:szCs w:val="28"/>
          <w:lang w:val="ru-RU"/>
        </w:rPr>
        <w:t>комплексного развития  транспортной  и</w:t>
      </w:r>
      <w:r w:rsidR="00542E4D" w:rsidRPr="00E02570">
        <w:rPr>
          <w:b w:val="0"/>
          <w:sz w:val="28"/>
          <w:szCs w:val="28"/>
          <w:lang w:val="ru-RU"/>
        </w:rPr>
        <w:t>н</w:t>
      </w:r>
      <w:r w:rsidR="00542E4D" w:rsidRPr="00E02570">
        <w:rPr>
          <w:b w:val="0"/>
          <w:sz w:val="28"/>
          <w:szCs w:val="28"/>
          <w:lang w:val="ru-RU"/>
        </w:rPr>
        <w:t>фраструктуры Тацинского сельского поселения на 2016 – 202</w:t>
      </w:r>
      <w:r w:rsidR="00BE7658">
        <w:rPr>
          <w:b w:val="0"/>
          <w:sz w:val="28"/>
          <w:szCs w:val="28"/>
          <w:lang w:val="ru-RU"/>
        </w:rPr>
        <w:t>7</w:t>
      </w:r>
      <w:r w:rsidR="00542E4D" w:rsidRPr="00E02570">
        <w:rPr>
          <w:b w:val="0"/>
          <w:sz w:val="28"/>
          <w:szCs w:val="28"/>
          <w:lang w:val="ru-RU"/>
        </w:rPr>
        <w:t xml:space="preserve"> годы согласно приложению к настоящему постановлению.</w:t>
      </w:r>
    </w:p>
    <w:p w:rsidR="00542E4D" w:rsidRPr="00E02570" w:rsidRDefault="00542E4D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 xml:space="preserve">2. </w:t>
      </w:r>
      <w:r w:rsidR="002A016F" w:rsidRPr="00E02570">
        <w:rPr>
          <w:b w:val="0"/>
          <w:sz w:val="28"/>
          <w:szCs w:val="28"/>
          <w:lang w:val="ru-RU"/>
        </w:rPr>
        <w:t xml:space="preserve"> Настоящее постановление вступает в силу со дня его подписания.</w:t>
      </w:r>
    </w:p>
    <w:p w:rsidR="002F737C" w:rsidRPr="00E02570" w:rsidRDefault="00542E4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>3</w:t>
      </w:r>
      <w:r w:rsidR="002F737C" w:rsidRPr="00E02570">
        <w:rPr>
          <w:b w:val="0"/>
          <w:sz w:val="28"/>
          <w:szCs w:val="28"/>
          <w:lang w:val="ru-RU"/>
        </w:rPr>
        <w:t xml:space="preserve">. Контроль за исполнением </w:t>
      </w:r>
      <w:r w:rsidRPr="00E02570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>
        <w:rPr>
          <w:b w:val="0"/>
          <w:sz w:val="28"/>
          <w:szCs w:val="28"/>
          <w:lang w:val="ru-RU"/>
        </w:rPr>
        <w:t>оставляю за собой</w:t>
      </w:r>
      <w:r w:rsidRPr="00E02570">
        <w:rPr>
          <w:b w:val="0"/>
          <w:sz w:val="28"/>
          <w:szCs w:val="28"/>
          <w:lang w:val="ru-RU"/>
        </w:rPr>
        <w:t>.</w:t>
      </w:r>
    </w:p>
    <w:p w:rsidR="004D493C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E02570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E02570" w:rsidRDefault="00A264F3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E02570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937CFC" w:rsidRPr="00E02570">
        <w:rPr>
          <w:b w:val="0"/>
          <w:sz w:val="28"/>
          <w:szCs w:val="28"/>
          <w:lang w:val="ru-RU"/>
        </w:rPr>
        <w:t xml:space="preserve">  Тацинского        </w:t>
      </w:r>
    </w:p>
    <w:p w:rsidR="00054699" w:rsidRPr="00E02570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E02570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</w:t>
      </w:r>
      <w:r w:rsidR="00A264F3">
        <w:rPr>
          <w:b w:val="0"/>
          <w:sz w:val="28"/>
          <w:szCs w:val="28"/>
          <w:lang w:val="ru-RU"/>
        </w:rPr>
        <w:t>В.А.Пономарев</w:t>
      </w: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E02570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89020C" w:rsidRDefault="0089020C" w:rsidP="00890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9020C" w:rsidRPr="0089020C" w:rsidRDefault="0089020C" w:rsidP="00890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020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Pr="00E02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89020C" w:rsidRPr="0089020C" w:rsidRDefault="0089020C" w:rsidP="00890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570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9020C" w:rsidRPr="0089020C" w:rsidRDefault="0089020C" w:rsidP="008902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5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B065C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>.06.2016г</w:t>
      </w:r>
      <w:r w:rsidR="00B065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B065C4">
        <w:rPr>
          <w:rFonts w:ascii="Times New Roman" w:eastAsia="Times New Roman" w:hAnsi="Times New Roman" w:cs="Times New Roman"/>
          <w:sz w:val="28"/>
          <w:szCs w:val="28"/>
        </w:rPr>
        <w:t xml:space="preserve"> 253а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20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F3" w:rsidRDefault="004255F3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>Комплексно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транспортной инфраструктуры </w:t>
      </w:r>
      <w:r w:rsidR="007A0204" w:rsidRPr="00E02570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A0204" w:rsidRPr="00E02570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A0204" w:rsidRPr="00E02570">
        <w:rPr>
          <w:rFonts w:ascii="Times New Roman" w:eastAsia="Times New Roman" w:hAnsi="Times New Roman" w:cs="Times New Roman"/>
          <w:b/>
          <w:sz w:val="28"/>
          <w:szCs w:val="28"/>
        </w:rPr>
        <w:t>Ростовской</w:t>
      </w:r>
      <w:r w:rsidR="0089020C" w:rsidRPr="0089020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020C" w:rsidRPr="0089020C" w:rsidRDefault="00BE7658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2016-20</w:t>
      </w:r>
      <w:r w:rsidR="004255F3">
        <w:rPr>
          <w:rFonts w:ascii="Times New Roman" w:eastAsia="Times New Roman" w:hAnsi="Times New Roman" w:cs="Times New Roman"/>
          <w:b/>
          <w:sz w:val="28"/>
          <w:szCs w:val="28"/>
        </w:rPr>
        <w:t>27 годы»</w:t>
      </w:r>
    </w:p>
    <w:p w:rsidR="00DB4EF7" w:rsidRPr="00DB4EF7" w:rsidRDefault="00DB4EF7" w:rsidP="00DB4EF7">
      <w:pPr>
        <w:numPr>
          <w:ilvl w:val="0"/>
          <w:numId w:val="7"/>
        </w:num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DB4EF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Паспорт программы</w:t>
      </w: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89020C" w:rsidRDefault="0089020C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89020C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A0204" w:rsidRPr="00E02570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89020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89020C" w:rsidRP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020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>Комплексно</w:t>
      </w:r>
      <w:r w:rsidR="007A0204" w:rsidRPr="00E02570">
        <w:rPr>
          <w:rFonts w:ascii="Times New Roman" w:eastAsia="Times New Roman" w:hAnsi="Times New Roman" w:cs="Calibri"/>
          <w:sz w:val="28"/>
          <w:szCs w:val="28"/>
          <w:lang w:eastAsia="en-US"/>
        </w:rPr>
        <w:t>е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развитие транспортной </w:t>
      </w:r>
      <w:r w:rsidR="007A0204" w:rsidRPr="00E02570">
        <w:rPr>
          <w:rFonts w:ascii="Times New Roman" w:eastAsia="Times New Roman" w:hAnsi="Times New Roman" w:cs="Calibri"/>
          <w:sz w:val="28"/>
          <w:szCs w:val="28"/>
          <w:lang w:eastAsia="en-US"/>
        </w:rPr>
        <w:t>инфраструктуры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E02570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сельск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>о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го поселения </w:t>
      </w:r>
      <w:r w:rsidR="007A0204" w:rsidRPr="00E02570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района </w:t>
      </w:r>
      <w:r w:rsidR="007A0204" w:rsidRPr="00E02570">
        <w:rPr>
          <w:rFonts w:ascii="Times New Roman" w:eastAsia="Times New Roman" w:hAnsi="Times New Roman" w:cs="Calibri"/>
          <w:sz w:val="28"/>
          <w:szCs w:val="28"/>
          <w:lang w:eastAsia="en-US"/>
        </w:rPr>
        <w:t>Ростовской</w:t>
      </w:r>
      <w:r w:rsidRPr="0089020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области</w:t>
      </w:r>
      <w:r w:rsidR="004255F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на 2016 -2027 годы»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6754"/>
      </w:tblGrid>
      <w:tr w:rsidR="0089020C" w:rsidRPr="0089020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Наименование пр</w:t>
            </w: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4255F3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</w:rPr>
              <w:t>П</w:t>
            </w:r>
            <w:r w:rsidR="0089020C" w:rsidRPr="0089020C">
              <w:rPr>
                <w:rFonts w:ascii="Times New Roman" w:eastAsia="Calibri" w:hAnsi="Times New Roman" w:cs="Arial"/>
                <w:sz w:val="28"/>
                <w:szCs w:val="28"/>
              </w:rPr>
              <w:t>рограмма «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Комплексное развитие транспортной и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н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фраструктуры Тацинского сельского поселения Т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а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цинского  района Ростовской области</w:t>
            </w:r>
            <w:r w:rsidR="0089020C" w:rsidRPr="0089020C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</w:t>
            </w:r>
            <w:r w:rsidR="007A0204" w:rsidRPr="00E02570">
              <w:rPr>
                <w:rFonts w:ascii="Times New Roman" w:eastAsia="Calibri" w:hAnsi="Times New Roman" w:cs="Arial"/>
                <w:sz w:val="28"/>
                <w:szCs w:val="28"/>
              </w:rPr>
              <w:t>6</w:t>
            </w:r>
            <w:r w:rsidR="0089020C" w:rsidRPr="0089020C">
              <w:rPr>
                <w:rFonts w:ascii="Times New Roman" w:eastAsia="Calibri" w:hAnsi="Times New Roman" w:cs="Arial"/>
                <w:sz w:val="28"/>
                <w:szCs w:val="28"/>
              </w:rPr>
              <w:t>-202</w:t>
            </w:r>
            <w:r w:rsidR="006300D9">
              <w:rPr>
                <w:rFonts w:ascii="Times New Roman" w:eastAsia="Calibri" w:hAnsi="Times New Roman" w:cs="Arial"/>
                <w:sz w:val="28"/>
                <w:szCs w:val="28"/>
              </w:rPr>
              <w:t>7</w:t>
            </w:r>
            <w:r w:rsidR="0089020C" w:rsidRPr="0089020C">
              <w:rPr>
                <w:rFonts w:ascii="Times New Roman" w:eastAsia="Calibri" w:hAnsi="Times New Roman" w:cs="Arial"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Arial"/>
                <w:sz w:val="28"/>
                <w:szCs w:val="28"/>
              </w:rPr>
              <w:t>»</w:t>
            </w:r>
            <w:r w:rsidR="0089020C" w:rsidRPr="0089020C">
              <w:rPr>
                <w:rFonts w:ascii="Times New Roman" w:eastAsia="Calibri" w:hAnsi="Times New Roman" w:cs="Arial"/>
                <w:sz w:val="28"/>
                <w:szCs w:val="28"/>
              </w:rPr>
              <w:t xml:space="preserve"> (далее – Программа)</w:t>
            </w:r>
          </w:p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0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Основание для ра</w:t>
            </w:r>
            <w:r w:rsidRPr="00890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8902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работки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5F3" w:rsidRPr="00DB4EF7" w:rsidRDefault="004255F3" w:rsidP="004255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B4EF7">
              <w:rPr>
                <w:sz w:val="28"/>
                <w:szCs w:val="28"/>
              </w:rPr>
              <w:t>Градостроительный кодекс РФ от 29 декабря 2004 №190 – ФЗ;</w:t>
            </w:r>
          </w:p>
          <w:p w:rsidR="004255F3" w:rsidRPr="00DB4EF7" w:rsidRDefault="004255F3" w:rsidP="004255F3">
            <w:pPr>
              <w:pStyle w:val="Default"/>
              <w:jc w:val="both"/>
              <w:rPr>
                <w:sz w:val="28"/>
                <w:szCs w:val="28"/>
              </w:rPr>
            </w:pPr>
            <w:r w:rsidRPr="00DB4EF7">
              <w:rPr>
                <w:sz w:val="28"/>
                <w:szCs w:val="28"/>
              </w:rPr>
              <w:t>- Федеральный закон от 29 декабря 2014года №456 – ФЗ «О внесении изменений в Градостроительный к</w:t>
            </w:r>
            <w:r w:rsidRPr="00DB4EF7">
              <w:rPr>
                <w:sz w:val="28"/>
                <w:szCs w:val="28"/>
              </w:rPr>
              <w:t>о</w:t>
            </w:r>
            <w:r w:rsidRPr="00DB4EF7">
              <w:rPr>
                <w:sz w:val="28"/>
                <w:szCs w:val="28"/>
              </w:rPr>
              <w:t xml:space="preserve">декс РФ и отдельные законные акты РФ»; </w:t>
            </w:r>
          </w:p>
          <w:p w:rsidR="004255F3" w:rsidRPr="00DB4EF7" w:rsidRDefault="004255F3" w:rsidP="0042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моуправления в Российской Федерации»;</w:t>
            </w:r>
          </w:p>
          <w:p w:rsidR="004255F3" w:rsidRPr="00DB4EF7" w:rsidRDefault="004255F3" w:rsidP="0042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 xml:space="preserve"> -Федеральный закон от 08.11.2007 № 257-ФЗ «Об а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томобильных дорогах и о дорожной деятельности в Российской Федерации и о внесении изменений в о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дельные законодательные акты Российской Федер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 xml:space="preserve">ции»; </w:t>
            </w:r>
          </w:p>
          <w:p w:rsidR="004255F3" w:rsidRPr="00DB4EF7" w:rsidRDefault="004255F3" w:rsidP="0042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-Федеральный закон от 09.02.2007 № 16-ФЗ «О тран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 xml:space="preserve">портной безопасности»; </w:t>
            </w:r>
          </w:p>
          <w:p w:rsidR="004255F3" w:rsidRPr="00DB4EF7" w:rsidRDefault="004255F3" w:rsidP="00425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6300D9" w:rsidRPr="00DB4EF7" w:rsidRDefault="004255F3" w:rsidP="0042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 xml:space="preserve"> -постановление Правительства Российской Федер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ции от 25 декабря 2015 года Пр-N1440 «Об утвержд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4EF7">
              <w:rPr>
                <w:rFonts w:ascii="Times New Roman" w:hAnsi="Times New Roman" w:cs="Times New Roman"/>
                <w:sz w:val="28"/>
                <w:szCs w:val="28"/>
              </w:rPr>
              <w:t xml:space="preserve">нии требований к программам комплексного развития транспортной инфраструктуры поселений, городских округов» </w:t>
            </w:r>
          </w:p>
          <w:p w:rsidR="0089020C" w:rsidRPr="0089020C" w:rsidRDefault="0089020C" w:rsidP="00890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</w:pPr>
            <w:r w:rsidRPr="00DB4E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-Генеральный план </w:t>
            </w:r>
            <w:r w:rsidR="007A0204" w:rsidRPr="00DB4E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Тацинского</w:t>
            </w:r>
            <w:r w:rsidRPr="00DB4EF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сельского 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поселения </w:t>
            </w:r>
            <w:r w:rsidR="007A0204" w:rsidRPr="00E02570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lastRenderedPageBreak/>
              <w:t>Тацинского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</w:t>
            </w:r>
            <w:r w:rsidR="007A0204" w:rsidRPr="00E02570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Ростовской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области,</w:t>
            </w:r>
          </w:p>
          <w:p w:rsidR="0089020C" w:rsidRPr="0089020C" w:rsidRDefault="0089020C" w:rsidP="007A0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-Устав </w:t>
            </w:r>
            <w:r w:rsidR="007A0204" w:rsidRPr="00E02570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Тацинского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</w:t>
            </w:r>
            <w:r w:rsidR="007A0204" w:rsidRPr="00E02570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Тацинского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района </w:t>
            </w:r>
            <w:r w:rsidR="007A0204" w:rsidRPr="00E02570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>Ростовской</w:t>
            </w:r>
            <w:r w:rsidRPr="0089020C">
              <w:rPr>
                <w:rFonts w:ascii="Times New Roman" w:eastAsia="Times New Roman" w:hAnsi="Times New Roman" w:cs="Calibri"/>
                <w:sz w:val="28"/>
                <w:szCs w:val="28"/>
                <w:shd w:val="clear" w:color="auto" w:fill="FFFFFF"/>
                <w:lang w:eastAsia="en-US"/>
              </w:rPr>
              <w:t xml:space="preserve">  области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940DE1" w:rsidP="0094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зака</w:t>
            </w: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чика и разработчиков программы, их м</w:t>
            </w: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стонахождение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E1" w:rsidRPr="00940DE1" w:rsidRDefault="00940DE1" w:rsidP="00940DE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940DE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Тацинского сельского поселения </w:t>
            </w:r>
          </w:p>
          <w:p w:rsidR="0089020C" w:rsidRPr="0089020C" w:rsidRDefault="00940DE1" w:rsidP="00940D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40DE1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347060, Ростовская область, Тацинский район, ст. Т</w:t>
            </w:r>
            <w:r w:rsidRPr="00940DE1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а</w:t>
            </w:r>
            <w:r w:rsidRPr="00940DE1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цинская, ул. Ленина, 49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4255F3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5F3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</w:t>
            </w:r>
            <w:r w:rsidRPr="004255F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255F3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5F3" w:rsidRDefault="004255F3" w:rsidP="0042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Целью программы является: Развитие современной и эффективной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, повышение уровня бе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опасности движения, доступности и качества оказыв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емых услуг транспортного комплекса для населения. </w:t>
            </w:r>
          </w:p>
          <w:p w:rsidR="004255F3" w:rsidRDefault="004255F3" w:rsidP="0042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255F3" w:rsidRDefault="004255F3" w:rsidP="0042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Для достижения указанных целей необходимо реш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ние основных задач: - организация мероприятий по оказанию транспортных услуг населению и субъектов экономической деятельности в соответствии с норм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тивами градостроительного проектирования посел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ния;</w:t>
            </w:r>
          </w:p>
          <w:p w:rsidR="0089020C" w:rsidRPr="0089020C" w:rsidRDefault="004255F3" w:rsidP="0042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организация мероприятий по развитию и соверше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ствованию автомобильных дорог общего пользования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Тацинского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поселения; - организация мероприятий по повышению безопасн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сти дорожного движения на территории сельского п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селения, а также формированию безопасного повед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ния участников дорожного движения и предупрежд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4255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нию дорожно-транспортного травматизма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9020C" w:rsidRPr="0089020C" w:rsidTr="00904067">
        <w:trPr>
          <w:trHeight w:val="1362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FA1F0F" w:rsidP="00890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Технико-экономические показатели: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показателям, %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-Доля муниципальных автомобильных дорог, в отн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шении которых проводились мероприятия по зимнему и летнему содержанию дорог, % ;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-Количество километров отремонтированных авто-мобильных дорог общего пользования местного зн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чения, км;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-Количество капитально отремонтированных иску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ственных сооружений (мостов), ед.;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-Количество спроектированных и устроенных троту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ров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-Количество паспортизированных участков дорог о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щего пользования местного значения, ед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Финансовые показатели: 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-снижение расходов на ремонт и содержание автом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A1F0F" w:rsidRP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Социально-экономические показатели:</w:t>
            </w:r>
          </w:p>
          <w:p w:rsidR="00FA1F0F" w:rsidRP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-Обеспеченность населения Поселения доступными и качественными круглогодичными услугами</w:t>
            </w:r>
          </w:p>
          <w:p w:rsidR="00FA1F0F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транспорта,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27608" w:rsidRPr="0089020C" w:rsidRDefault="00FA1F0F" w:rsidP="00FA1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-Количество дорожно-транспортных происшествий, произошедших на территории Поселения, ед. -Количество погибших и тяжело пострадавших в р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A1F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зультате ДТП на территории поселения, чел.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Сроки реализации программы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DB4EF7" w:rsidP="00DB4EF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4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реализации Программы – 2016 –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Pr="00DB4E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89020C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-средства местного бюджета в сумме 9975 тыс. руб. в т.ч. по годам:</w:t>
            </w:r>
          </w:p>
          <w:p w:rsidR="0089020C" w:rsidRPr="0089020C" w:rsidRDefault="0089020C" w:rsidP="0089020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- 201</w:t>
            </w:r>
            <w:r w:rsidR="00D84618" w:rsidRPr="00E0257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г. -</w:t>
            </w:r>
            <w:r w:rsidR="00C27608">
              <w:rPr>
                <w:rFonts w:ascii="Times New Roman" w:eastAsia="Calibri" w:hAnsi="Times New Roman" w:cs="Times New Roman"/>
                <w:sz w:val="28"/>
                <w:szCs w:val="28"/>
              </w:rPr>
              <w:t>3949,0</w:t>
            </w:r>
            <w:r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9020C" w:rsidRPr="0089020C" w:rsidRDefault="00D84618" w:rsidP="0089020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570">
              <w:rPr>
                <w:rFonts w:ascii="Times New Roman" w:eastAsia="Calibri" w:hAnsi="Times New Roman" w:cs="Times New Roman"/>
                <w:sz w:val="28"/>
                <w:szCs w:val="28"/>
              </w:rPr>
              <w:t>- 2017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525AD7" w:rsidRPr="00E0257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</w:t>
            </w:r>
            <w:r w:rsidR="00C27608">
              <w:rPr>
                <w:rFonts w:ascii="Times New Roman" w:eastAsia="Calibri" w:hAnsi="Times New Roman" w:cs="Times New Roman"/>
                <w:sz w:val="28"/>
                <w:szCs w:val="28"/>
              </w:rPr>
              <w:t>27г. *</w:t>
            </w:r>
          </w:p>
          <w:p w:rsidR="0089020C" w:rsidRPr="0089020C" w:rsidRDefault="00C27608" w:rsidP="00C2760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ассигнования, предусмотренные в пл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>новом периоде, будут уточнены при формировании проект</w:t>
            </w:r>
            <w:r w:rsidR="00525AD7" w:rsidRPr="00E0257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89020C" w:rsidRPr="008902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бюджета поселения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очередной финансовый год</w:t>
            </w:r>
            <w:r w:rsidR="00525AD7" w:rsidRPr="00E02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B4EF7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Pr="0089020C" w:rsidRDefault="00DB4EF7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Укрепленное опис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ние запланирова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ных мероприятий (инвестиционных проектов) по прое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тированию, стро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тельству, реко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струкции объектов социальной инфр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структуры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Pr="00DB4EF7" w:rsidRDefault="00DB4EF7" w:rsidP="00572BD0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  <w:r w:rsidRPr="00DB4EF7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DB4EF7" w:rsidRDefault="00DB4EF7" w:rsidP="00572BD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EF7">
              <w:rPr>
                <w:rFonts w:ascii="Times New Roman" w:eastAsia="Times New Roman" w:hAnsi="Times New Roman"/>
                <w:sz w:val="28"/>
                <w:szCs w:val="28"/>
              </w:rPr>
              <w:t xml:space="preserve">-   ремонт и капитальный ремонт дорог.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DB4EF7" w:rsidRDefault="00DB4EF7" w:rsidP="00572BD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DB4EF7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Default="00DB4EF7" w:rsidP="00572BD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граммы                                      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Pr="00073D20" w:rsidRDefault="00DB4EF7" w:rsidP="00572BD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Источники финансирования:</w:t>
            </w:r>
          </w:p>
          <w:p w:rsidR="00DB4EF7" w:rsidRPr="00073D20" w:rsidRDefault="00DB4EF7" w:rsidP="00572BD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DB4EF7" w:rsidRPr="00073D20" w:rsidRDefault="00DB4EF7" w:rsidP="00572BD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2016 г. – 3949,0 тыс. руб.</w:t>
            </w:r>
          </w:p>
          <w:p w:rsidR="00DB4EF7" w:rsidRPr="00073D20" w:rsidRDefault="00DB4EF7" w:rsidP="00BE765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Средства местного бюджета на 2017-202</w:t>
            </w:r>
            <w:r w:rsidR="00BE765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уто</w:t>
            </w: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няются при формировании бюджета на очередной ф</w:t>
            </w: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нансовый год.</w:t>
            </w:r>
          </w:p>
        </w:tc>
      </w:tr>
      <w:tr w:rsidR="00DB4EF7" w:rsidRPr="0089020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Default="00DB4EF7" w:rsidP="00572BD0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EF7" w:rsidRPr="00073D20" w:rsidRDefault="00DB4EF7" w:rsidP="00572BD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DB4EF7" w:rsidRPr="00073D20" w:rsidRDefault="00DB4EF7" w:rsidP="00572BD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3D20">
              <w:rPr>
                <w:rFonts w:ascii="Times New Roman" w:eastAsia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89020C" w:rsidRDefault="0089020C" w:rsidP="0089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B4EF7" w:rsidRPr="00DB4EF7" w:rsidRDefault="00DB4EF7" w:rsidP="00DB4EF7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DB4EF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Характеристика существующего состояния транспортной инфраструктуры 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Тацинского</w:t>
      </w:r>
      <w:r w:rsidRPr="00DB4EF7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поселения.</w:t>
      </w:r>
    </w:p>
    <w:p w:rsidR="00DB4EF7" w:rsidRPr="0089020C" w:rsidRDefault="00272475" w:rsidP="00890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Анализ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Тацинского</w:t>
      </w:r>
      <w:r w:rsidRPr="002724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в структуре пр</w:t>
      </w:r>
      <w:r w:rsidRPr="00272475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72475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</w:p>
    <w:p w:rsidR="00DB4EF7" w:rsidRP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 xml:space="preserve">Тацинское сельское поселение </w:t>
      </w:r>
      <w:r w:rsidRPr="00DB4EF7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входит в состав муниципального обр</w:t>
      </w:r>
      <w:r w:rsidRPr="00DB4EF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DB4EF7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 Тацинский район Ростовской области, а</w:t>
      </w:r>
      <w:r w:rsidRPr="00DB4EF7">
        <w:rPr>
          <w:rFonts w:ascii="Times New Roman" w:eastAsia="Times New Roman" w:hAnsi="Times New Roman" w:cs="Times New Roman"/>
          <w:sz w:val="28"/>
          <w:szCs w:val="28"/>
        </w:rPr>
        <w:t>дминистративный центр ра</w:t>
      </w:r>
      <w:r w:rsidRPr="00DB4EF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B4EF7">
        <w:rPr>
          <w:rFonts w:ascii="Times New Roman" w:eastAsia="Times New Roman" w:hAnsi="Times New Roman" w:cs="Times New Roman"/>
          <w:sz w:val="28"/>
          <w:szCs w:val="28"/>
        </w:rPr>
        <w:t>она - ст.Тацинская</w:t>
      </w:r>
      <w:r w:rsidRPr="00DB4E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Поселение </w:t>
      </w:r>
      <w:r w:rsidRPr="00DB4EF7">
        <w:rPr>
          <w:rFonts w:ascii="Times New Roman" w:eastAsia="Times New Roman" w:hAnsi="Times New Roman" w:cs="Times New Roman"/>
          <w:sz w:val="28"/>
          <w:szCs w:val="28"/>
        </w:rPr>
        <w:t>расположено в центральной части Тацинского района и граничит:</w:t>
      </w:r>
    </w:p>
    <w:p w:rsidR="00DB4EF7" w:rsidRP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- с юга – с  Ермаковским сельским поселением,</w:t>
      </w:r>
    </w:p>
    <w:p w:rsidR="00DB4EF7" w:rsidRP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- с востока – с Жирновским городским поселением;</w:t>
      </w:r>
    </w:p>
    <w:p w:rsidR="00DB4EF7" w:rsidRP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- с запада – с  Суховским и Ковылкинским сельскими поселениями;</w:t>
      </w:r>
    </w:p>
    <w:p w:rsidR="00DB4EF7" w:rsidRPr="00DB4EF7" w:rsidRDefault="00DB4EF7" w:rsidP="00DB4EF7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- с севера – с Михайловским и Углегорским сельскими поселениями.</w:t>
      </w:r>
    </w:p>
    <w:p w:rsidR="00DB4EF7" w:rsidRP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Территория Тацинского сельского поселения расположена в 221км от областного центра г. Ростова-на-Дону.</w:t>
      </w:r>
    </w:p>
    <w:p w:rsidR="00DB4EF7" w:rsidRDefault="00DB4EF7" w:rsidP="00DB4E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EF7">
        <w:rPr>
          <w:rFonts w:ascii="Times New Roman" w:eastAsia="Times New Roman" w:hAnsi="Times New Roman" w:cs="Times New Roman"/>
          <w:sz w:val="28"/>
          <w:szCs w:val="28"/>
        </w:rPr>
        <w:t>В состав Тацинского сельского поселения входит ст. Тацинская.</w:t>
      </w:r>
    </w:p>
    <w:p w:rsidR="00272475" w:rsidRPr="00272475" w:rsidRDefault="00272475" w:rsidP="002724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Общая протяженность автомобильных дорог общего пользования местного значения всего – </w:t>
      </w:r>
      <w:r w:rsidR="00522308">
        <w:rPr>
          <w:rFonts w:ascii="Times New Roman" w:eastAsia="Times New Roman" w:hAnsi="Times New Roman" w:cs="Times New Roman"/>
          <w:sz w:val="28"/>
          <w:szCs w:val="28"/>
        </w:rPr>
        <w:t>71,8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 км, из них: с твердым покрытием общего пользования – </w:t>
      </w:r>
      <w:r w:rsidR="00522308">
        <w:rPr>
          <w:rFonts w:ascii="Times New Roman" w:eastAsia="Times New Roman" w:hAnsi="Times New Roman" w:cs="Times New Roman"/>
          <w:sz w:val="28"/>
          <w:szCs w:val="28"/>
        </w:rPr>
        <w:t>49,2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 км.  Ширина проезжей части,  в основном, составляет 6 м. Пропускная способность сети автомобильных дорог до 100 автомобилей в сутки. </w:t>
      </w:r>
    </w:p>
    <w:p w:rsidR="00272475" w:rsidRPr="00272475" w:rsidRDefault="00272475" w:rsidP="002724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автомобильных дорогах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мостов нет.  </w:t>
      </w:r>
    </w:p>
    <w:p w:rsidR="00272475" w:rsidRPr="00DB4EF7" w:rsidRDefault="00272475" w:rsidP="002724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Зимних переправ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нет.</w:t>
      </w:r>
    </w:p>
    <w:p w:rsidR="00522308" w:rsidRPr="00522308" w:rsidRDefault="00522308" w:rsidP="00522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522308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2.2 Социально-экономическая характеристика, характеристика градостроительной деятельности на территории поселения, включая деятельность в сфере транспорта, оценку транспортного спроса.</w:t>
      </w:r>
    </w:p>
    <w:p w:rsidR="00522308" w:rsidRDefault="00522308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308" w:rsidRDefault="00522308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475" w:rsidRPr="00272475" w:rsidRDefault="00D83CAE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72475" w:rsidRPr="00272475">
        <w:rPr>
          <w:rFonts w:ascii="Times New Roman" w:eastAsia="Times New Roman" w:hAnsi="Times New Roman" w:cs="Times New Roman"/>
          <w:sz w:val="28"/>
          <w:szCs w:val="28"/>
        </w:rPr>
        <w:t xml:space="preserve">аселение Тацинского сельского поселения на 01.01.2008 г. </w:t>
      </w:r>
      <w:r w:rsidR="00272475" w:rsidRPr="0027247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11270 человека или 26,5</w:t>
      </w:r>
      <w:r w:rsidR="00272475" w:rsidRPr="00272475">
        <w:rPr>
          <w:rFonts w:ascii="Times New Roman" w:eastAsia="Times New Roman" w:hAnsi="Times New Roman" w:cs="Times New Roman"/>
          <w:sz w:val="28"/>
          <w:szCs w:val="28"/>
        </w:rPr>
        <w:t>% от численности населения Тацинского района. Расчетная численность населения Тацинского сельского поселения предста</w:t>
      </w:r>
      <w:r w:rsidR="00272475" w:rsidRPr="0027247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72475" w:rsidRPr="00272475">
        <w:rPr>
          <w:rFonts w:ascii="Times New Roman" w:eastAsia="Times New Roman" w:hAnsi="Times New Roman" w:cs="Times New Roman"/>
          <w:sz w:val="28"/>
          <w:szCs w:val="28"/>
        </w:rPr>
        <w:t xml:space="preserve">лена в таблице №1. </w:t>
      </w:r>
    </w:p>
    <w:p w:rsidR="00BE7658" w:rsidRDefault="00BE7658" w:rsidP="00272475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7658" w:rsidRDefault="00BE7658" w:rsidP="00272475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7658" w:rsidRDefault="00BE7658" w:rsidP="00272475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7658" w:rsidRDefault="00BE7658" w:rsidP="00272475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</w:p>
    <w:p w:rsidR="00BE7658" w:rsidRDefault="00BE7658" w:rsidP="00272475">
      <w:pPr>
        <w:spacing w:after="0"/>
        <w:ind w:firstLine="709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</w:p>
    <w:p w:rsidR="00272475" w:rsidRPr="00272475" w:rsidRDefault="00272475" w:rsidP="0027247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Calibri"/>
          <w:b/>
          <w:sz w:val="28"/>
          <w:szCs w:val="28"/>
        </w:rPr>
        <w:t>Таблица 1</w:t>
      </w:r>
    </w:p>
    <w:p w:rsidR="00272475" w:rsidRPr="00272475" w:rsidRDefault="00272475" w:rsidP="00272475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272475">
        <w:rPr>
          <w:rFonts w:ascii="Times New Roman" w:eastAsia="Times New Roman" w:hAnsi="Times New Roman" w:cs="Calibri"/>
          <w:b/>
          <w:sz w:val="28"/>
          <w:szCs w:val="28"/>
        </w:rPr>
        <w:lastRenderedPageBreak/>
        <w:t xml:space="preserve">Сводная таблица перспективной численности населения </w:t>
      </w:r>
      <w:r w:rsidRPr="00272475">
        <w:rPr>
          <w:rFonts w:ascii="Times New Roman" w:eastAsia="Times New Roman" w:hAnsi="Times New Roman" w:cs="Times New Roman"/>
          <w:b/>
          <w:sz w:val="28"/>
          <w:szCs w:val="28"/>
        </w:rPr>
        <w:t xml:space="preserve">Тацинского с. </w:t>
      </w:r>
      <w:r w:rsidRPr="00272475">
        <w:rPr>
          <w:rFonts w:ascii="Times New Roman" w:eastAsia="Times New Roman" w:hAnsi="Times New Roman" w:cs="Calibri"/>
          <w:b/>
          <w:sz w:val="28"/>
          <w:szCs w:val="28"/>
        </w:rPr>
        <w:t>п. по оптимистическому пути в целом, а так же с. п., входящего в его с</w:t>
      </w:r>
      <w:r w:rsidRPr="00272475">
        <w:rPr>
          <w:rFonts w:ascii="Times New Roman" w:eastAsia="Times New Roman" w:hAnsi="Times New Roman" w:cs="Calibri"/>
          <w:b/>
          <w:sz w:val="28"/>
          <w:szCs w:val="28"/>
        </w:rPr>
        <w:t>о</w:t>
      </w:r>
      <w:r w:rsidRPr="00272475">
        <w:rPr>
          <w:rFonts w:ascii="Times New Roman" w:eastAsia="Times New Roman" w:hAnsi="Times New Roman" w:cs="Calibri"/>
          <w:b/>
          <w:sz w:val="28"/>
          <w:szCs w:val="28"/>
        </w:rPr>
        <w:t>став</w:t>
      </w:r>
    </w:p>
    <w:p w:rsidR="00272475" w:rsidRPr="00272475" w:rsidRDefault="00272475" w:rsidP="00272475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931"/>
        <w:gridCol w:w="900"/>
        <w:gridCol w:w="900"/>
        <w:gridCol w:w="900"/>
        <w:gridCol w:w="900"/>
        <w:gridCol w:w="1080"/>
        <w:gridCol w:w="1103"/>
      </w:tblGrid>
      <w:tr w:rsidR="00272475" w:rsidRPr="00272475" w:rsidTr="00572BD0">
        <w:trPr>
          <w:trHeight w:val="292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Настоящее время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Численность жителей (чел.)</w:t>
            </w:r>
          </w:p>
        </w:tc>
      </w:tr>
      <w:tr w:rsidR="00272475" w:rsidRPr="00272475" w:rsidTr="00572BD0">
        <w:trPr>
          <w:trHeight w:val="622"/>
        </w:trPr>
        <w:tc>
          <w:tcPr>
            <w:tcW w:w="32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Расчетные сроки генерального плана</w:t>
            </w:r>
          </w:p>
        </w:tc>
      </w:tr>
      <w:tr w:rsidR="00272475" w:rsidRPr="00272475" w:rsidTr="00572BD0">
        <w:trPr>
          <w:trHeight w:val="292"/>
        </w:trPr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2007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2015г.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2020г.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2025г.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2012г.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2027г.</w:t>
            </w:r>
          </w:p>
        </w:tc>
      </w:tr>
      <w:tr w:rsidR="00272475" w:rsidRPr="00272475" w:rsidTr="00572BD0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Населенный пункт: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11270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272475" w:rsidRPr="00272475" w:rsidTr="00572BD0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ст. Тацинская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11955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11349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12182</w:t>
            </w:r>
          </w:p>
        </w:tc>
      </w:tr>
      <w:tr w:rsidR="00272475" w:rsidRPr="00272475" w:rsidTr="00572BD0">
        <w:trPr>
          <w:trHeight w:val="29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272475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Всего по Тацинскому сельскому поселению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11270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11305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11955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11349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75" w:rsidRPr="00272475" w:rsidRDefault="00272475" w:rsidP="00272475">
            <w:pPr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72475">
              <w:rPr>
                <w:rFonts w:ascii="Times New Roman" w:eastAsia="Times New Roman" w:hAnsi="Times New Roman" w:cs="Calibri"/>
                <w:sz w:val="24"/>
                <w:szCs w:val="24"/>
              </w:rPr>
              <w:t>12182</w:t>
            </w:r>
          </w:p>
        </w:tc>
      </w:tr>
    </w:tbl>
    <w:p w:rsidR="00D83CAE" w:rsidRDefault="00D83CAE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3CAE" w:rsidRDefault="00D83CAE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AE">
        <w:rPr>
          <w:rFonts w:ascii="Times New Roman" w:eastAsia="Times New Roman" w:hAnsi="Times New Roman" w:cs="Times New Roman"/>
          <w:sz w:val="28"/>
          <w:szCs w:val="28"/>
        </w:rPr>
        <w:t>Возрастная структура населения характеризуется высокой долей нас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 xml:space="preserve">ления в трудоспособном возрасте и достаточно низкой долей лиц старше трудоспособного возраста. Таким образом, на сегодняшний день возрастная структура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имеет определенный демографический потенциал на перспективу в лице относительного больш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го удельного веса лиц трудоспособного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CAE" w:rsidRDefault="00D83CAE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AE">
        <w:rPr>
          <w:rFonts w:ascii="Times New Roman" w:eastAsia="Times New Roman" w:hAnsi="Times New Roman" w:cs="Times New Roman"/>
          <w:sz w:val="28"/>
          <w:szCs w:val="28"/>
        </w:rPr>
        <w:t xml:space="preserve"> Учитывая проведенный анализ прогнозов демографического развития сельского поселения, наиболее вероятным рассматривается сценарий увел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чения численности населения. Для достижения целей Программы приним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3CAE">
        <w:rPr>
          <w:rFonts w:ascii="Times New Roman" w:eastAsia="Times New Roman" w:hAnsi="Times New Roman" w:cs="Times New Roman"/>
          <w:sz w:val="28"/>
          <w:szCs w:val="28"/>
        </w:rPr>
        <w:t>ется условие, при котором численность жителей и хозяйствующих субъектов имеет тенденцию роста.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>Транспортно-магистральный каркас в соответствии с общим решением схемы территориального планирования в масштабе Восточно-Донбасской а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ломерации, представлен магистральной линией железной дороги «Лихая-Волгоград» и автомобильной федеральной дорогой (М-21), связывающей Федеральную дорогу (М-4) с Волгоградом.</w:t>
      </w:r>
      <w:r w:rsidR="00BF482D" w:rsidRPr="00BF482D">
        <w:t xml:space="preserve"> </w:t>
      </w:r>
      <w:r w:rsidR="00BF482D" w:rsidRPr="00BF482D">
        <w:rPr>
          <w:rFonts w:ascii="Times New Roman" w:eastAsia="Times New Roman" w:hAnsi="Times New Roman" w:cs="Times New Roman"/>
          <w:sz w:val="28"/>
          <w:szCs w:val="28"/>
        </w:rPr>
        <w:t>Средняя плотность железных д</w:t>
      </w:r>
      <w:r w:rsidR="00BF482D" w:rsidRPr="00BF48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82D" w:rsidRPr="00BF482D">
        <w:rPr>
          <w:rFonts w:ascii="Times New Roman" w:eastAsia="Times New Roman" w:hAnsi="Times New Roman" w:cs="Times New Roman"/>
          <w:sz w:val="28"/>
          <w:szCs w:val="28"/>
        </w:rPr>
        <w:t>рог составляет  0,03км/км2.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>По схеме территориального планирования предлагается к магистрал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ному каркасу Федерального значения подключить проектируемые дороги межрегионального значения, проходящие с западной и восточной стороны селитебной территории ст. Тацинская, к которым примыкает сеть межпосе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ковых и местных дорог.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>Внешние связи станицы осуществляются двумя видами транспорта: железнодорожным и автомобильным.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>Автомобильные перевозки осуществляются Тацинским автотранспор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ным предприятием, расположенным в северо - восточной части станицы.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t>Транзитное движение автотранспорта проходит по обходной дороге в северной части станицы с выходом на автодорогу Ростов-Волгоград.</w:t>
      </w:r>
    </w:p>
    <w:p w:rsidR="00272475" w:rsidRPr="00272475" w:rsidRDefault="00272475" w:rsidP="002724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475">
        <w:rPr>
          <w:rFonts w:ascii="Times New Roman" w:eastAsia="Times New Roman" w:hAnsi="Times New Roman" w:cs="Times New Roman"/>
          <w:sz w:val="28"/>
          <w:szCs w:val="28"/>
        </w:rPr>
        <w:lastRenderedPageBreak/>
        <w:t>Уличная сеть ст. Тацинская в основном имеет прямоугольное начерт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2475">
        <w:rPr>
          <w:rFonts w:ascii="Times New Roman" w:eastAsia="Times New Roman" w:hAnsi="Times New Roman" w:cs="Times New Roman"/>
          <w:sz w:val="28"/>
          <w:szCs w:val="28"/>
        </w:rPr>
        <w:t>ние, в северной части, в районе балки Таловой, улицы и переулки подчинены рельефу местности.</w:t>
      </w:r>
    </w:p>
    <w:p w:rsidR="00D83CAE" w:rsidRPr="00D83CAE" w:rsidRDefault="00D83CAE" w:rsidP="00D83CAE">
      <w:pPr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D83CA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D83CAE" w:rsidRPr="00073D20" w:rsidRDefault="00D83CAE" w:rsidP="00D83CAE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Автомобилизация поселения (</w:t>
      </w:r>
      <w:r w:rsidR="009856B9" w:rsidRP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365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единиц/1000</w:t>
      </w:r>
      <w:r w:rsid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человек  в 2015</w:t>
      </w:r>
      <w:r w:rsid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году) оценивается как </w:t>
      </w:r>
      <w:r w:rsidR="009856B9" w:rsidRP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выше 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средней (при уровне автомобилизации</w:t>
      </w:r>
      <w:r w:rsidR="009856B9" w:rsidRP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="009856B9" w:rsidRP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Российской Федерации 270 единиц на 1000 человек)</w:t>
      </w:r>
      <w:r w:rsidR="009856B9" w:rsidRPr="009856B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  <w:r w:rsidRPr="00D83CAE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второстепенные улицы, проезды, хозяйственные проезды.</w:t>
      </w:r>
    </w:p>
    <w:p w:rsidR="009856B9" w:rsidRPr="00073D20" w:rsidRDefault="009856B9" w:rsidP="009856B9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2.4. Характеристика сети дорог поселения, параметры дорожного движения, оценка качества содержания дорог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.                                                                                                                  </w:t>
      </w:r>
    </w:p>
    <w:p w:rsidR="009856B9" w:rsidRPr="00073D20" w:rsidRDefault="009856B9" w:rsidP="009856B9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ab/>
        <w:t xml:space="preserve">Дорожно-транспортная сеть поселения состоит из дорог </w:t>
      </w:r>
      <w:r w:rsidR="00CC3922" w:rsidRPr="00073D20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I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val="en-US" w:eastAsia="ar-SA"/>
        </w:rPr>
        <w:t>V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категории, предназначенных не для скоростного движения. </w:t>
      </w:r>
      <w:r w:rsidR="007A0EBA"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Дороги 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9856B9" w:rsidRPr="00073D20" w:rsidRDefault="007A0EBA" w:rsidP="009856B9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Тацинское</w:t>
      </w:r>
      <w:r w:rsidR="009856B9"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сельское поселение обладает достаточно развитой авт</w:t>
      </w:r>
      <w:r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омобильной транспортной сетью являесь административным центром Тацинского района</w:t>
      </w:r>
      <w:r w:rsidR="009856B9"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, что создаёт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</w:t>
      </w:r>
      <w:r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8</w:t>
      </w:r>
      <w:r w:rsidR="009856B9"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9856B9" w:rsidRPr="00073D20" w:rsidRDefault="009856B9" w:rsidP="009856B9">
      <w:pPr>
        <w:widowControl w:val="0"/>
        <w:suppressAutoHyphens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spacing w:val="-2"/>
          <w:kern w:val="1"/>
          <w:sz w:val="28"/>
          <w:szCs w:val="28"/>
          <w:lang w:eastAsia="ar-SA"/>
        </w:rPr>
        <w:t xml:space="preserve">        </w:t>
      </w:r>
      <w:r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        Общая протяжённость дорожной сети составляет </w:t>
      </w:r>
      <w:r w:rsidR="007A0EBA"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71,8</w:t>
      </w:r>
      <w:r w:rsidRPr="00073D20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км. Почти все дороги требуют ямочного  и капитального ремонта.  </w:t>
      </w:r>
    </w:p>
    <w:p w:rsidR="00917CB4" w:rsidRPr="00073D20" w:rsidRDefault="00917CB4" w:rsidP="00917CB4">
      <w:pPr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917CB4" w:rsidRPr="00073D20" w:rsidRDefault="00917CB4" w:rsidP="00917CB4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</w:t>
      </w: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917CB4" w:rsidRPr="00073D20" w:rsidRDefault="00917CB4" w:rsidP="00917CB4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Оценка уровня автомобилизации населения на территории Чапаевского сельского поселения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917CB4" w:rsidRPr="00917CB4" w:rsidTr="00572BD0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b/>
                <w:bCs/>
                <w:color w:val="000000"/>
                <w:kern w:val="1"/>
                <w:lang w:eastAsia="ar-SA"/>
              </w:rPr>
              <w:t>2015 год (факт)</w:t>
            </w:r>
          </w:p>
        </w:tc>
      </w:tr>
      <w:tr w:rsidR="005E2AB8" w:rsidRPr="00917CB4" w:rsidTr="00572BD0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B8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B8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B8" w:rsidRPr="00B6592F" w:rsidRDefault="005E2AB8" w:rsidP="00572BD0">
            <w:r w:rsidRPr="00B6592F">
              <w:t>11305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B8" w:rsidRDefault="005E2AB8" w:rsidP="005E2AB8">
            <w:r w:rsidRPr="00B6592F">
              <w:t>11</w:t>
            </w:r>
            <w:r>
              <w:t>365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B8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11455</w:t>
            </w:r>
          </w:p>
        </w:tc>
      </w:tr>
      <w:tr w:rsidR="00917CB4" w:rsidRPr="00917CB4" w:rsidTr="00572BD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378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382</w:t>
            </w:r>
          </w:p>
        </w:tc>
      </w:tr>
      <w:tr w:rsidR="00917CB4" w:rsidRPr="00917CB4" w:rsidTr="00572BD0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917CB4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</w:pPr>
            <w:r w:rsidRPr="00917CB4">
              <w:rPr>
                <w:rFonts w:ascii="Times New Roman" w:eastAsia="Calibri" w:hAnsi="Times New Roman" w:cs="Times New Roman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CB4" w:rsidRPr="00917CB4" w:rsidRDefault="005E2AB8" w:rsidP="00917CB4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365</w:t>
            </w:r>
          </w:p>
        </w:tc>
      </w:tr>
    </w:tbl>
    <w:p w:rsidR="00917CB4" w:rsidRPr="00917CB4" w:rsidRDefault="00917CB4" w:rsidP="00917CB4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917CB4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272475" w:rsidRDefault="00272475" w:rsidP="0089020C">
      <w:pPr>
        <w:shd w:val="clear" w:color="auto" w:fill="FFFFFF"/>
        <w:spacing w:after="0" w:line="240" w:lineRule="auto"/>
        <w:ind w:right="5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08B4" w:rsidRPr="00BB08B4" w:rsidRDefault="00BB08B4" w:rsidP="00BB08B4">
      <w:pPr>
        <w:suppressAutoHyphens/>
        <w:jc w:val="both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BB08B4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BB08B4" w:rsidRPr="00BB08B4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B08B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Передвижение по территории населённого пункта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</w:t>
      </w:r>
    </w:p>
    <w:p w:rsidR="00BB08B4" w:rsidRPr="00BB08B4" w:rsidRDefault="00BB08B4" w:rsidP="00BB08B4">
      <w:pPr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BB08B4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</w:t>
      </w:r>
      <w:r w:rsidRPr="00BB08B4">
        <w:rPr>
          <w:rFonts w:ascii="Times New Roman" w:eastAsia="Calibri" w:hAnsi="Times New Roman" w:cs="Times New Roman"/>
          <w:b/>
          <w:bCs/>
          <w:kern w:val="1"/>
          <w:lang w:eastAsia="ar-SA"/>
        </w:rPr>
        <w:t>2.7. Характеристика пешеходного и велосипедного передвижения.</w:t>
      </w:r>
      <w:r w:rsidRPr="00BB08B4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                    </w:t>
      </w:r>
    </w:p>
    <w:p w:rsidR="00BB08B4" w:rsidRPr="00BB08B4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BB08B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BB08B4" w:rsidRPr="00BB08B4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BB08B4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2.8. Характеристика движения грузовых транспортных средств.                                                 </w:t>
      </w:r>
    </w:p>
    <w:p w:rsidR="00BB08B4" w:rsidRPr="00BB08B4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BB08B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 w:rsidRPr="00BB08B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BB08B4" w:rsidRPr="00073D20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073D20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2.9. Анализ уровня безопасности дорожного движения.</w:t>
      </w:r>
    </w:p>
    <w:p w:rsidR="00D75351" w:rsidRPr="00073D20" w:rsidRDefault="00BB08B4" w:rsidP="00BB08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лезнодорожных путей, поскольку по ним транспортируются легковосплам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няющиеся, химические, горючие, взрывоопасные и другие вещества. </w:t>
      </w:r>
    </w:p>
    <w:p w:rsidR="00BB08B4" w:rsidRPr="00073D20" w:rsidRDefault="00BB08B4" w:rsidP="00BB08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На территории Чапаевского сельского поселения железнодорожных м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гистралей нет. </w:t>
      </w:r>
    </w:p>
    <w:p w:rsidR="00BB08B4" w:rsidRPr="00073D20" w:rsidRDefault="00BB08B4" w:rsidP="00BB08B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о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го движения, превышения скоростного режима и неудовлетворительного к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</w:t>
      </w:r>
      <w:r w:rsidRPr="00073D2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чества дорожных покрытий.</w:t>
      </w:r>
    </w:p>
    <w:p w:rsidR="00BB08B4" w:rsidRPr="00073D20" w:rsidRDefault="00BB08B4" w:rsidP="00BB08B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D75351"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ч. По итогам 2</w:t>
      </w: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015 года  на территории </w:t>
      </w:r>
      <w:r w:rsidR="00D75351"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Тацинского</w:t>
      </w: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сельского поселения зарегистрировано </w:t>
      </w:r>
      <w:r w:rsidR="00965F17"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37</w:t>
      </w: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Дорожно-транспортных происшествий, это на </w:t>
      </w:r>
      <w:r w:rsidR="00965F17"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12</w:t>
      </w: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меньше чем за 2014 год (</w:t>
      </w:r>
      <w:r w:rsidR="00965F17"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49</w:t>
      </w: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ДТП).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BB08B4" w:rsidRPr="00073D20" w:rsidRDefault="00BB08B4" w:rsidP="00BB08B4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073D2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BB08B4" w:rsidRPr="00BB08B4" w:rsidTr="00572BD0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Год</w:t>
            </w:r>
          </w:p>
        </w:tc>
      </w:tr>
      <w:tr w:rsidR="00BB08B4" w:rsidRPr="00BB08B4" w:rsidTr="00572BD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b/>
                <w:kern w:val="1"/>
                <w:lang w:eastAsia="en-US"/>
              </w:rPr>
              <w:t>2015</w:t>
            </w:r>
          </w:p>
        </w:tc>
      </w:tr>
      <w:tr w:rsidR="00BB08B4" w:rsidRPr="00BB08B4" w:rsidTr="00572BD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kern w:val="1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B4" w:rsidRPr="00BB08B4" w:rsidRDefault="00BB08B4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kern w:val="1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B4" w:rsidRPr="00BB08B4" w:rsidRDefault="00965F17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965F17">
              <w:rPr>
                <w:rFonts w:ascii="Times New Roman" w:eastAsia="Calibri" w:hAnsi="Times New Roman" w:cs="Times New Roman"/>
                <w:kern w:val="2"/>
                <w:lang w:eastAsia="en-US"/>
              </w:rPr>
              <w:t>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B4" w:rsidRPr="00BB08B4" w:rsidRDefault="00965F17" w:rsidP="00965F17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965F17">
              <w:rPr>
                <w:rFonts w:ascii="Times New Roman" w:eastAsia="Calibri" w:hAnsi="Times New Roman" w:cs="Times New Roman"/>
                <w:kern w:val="2"/>
                <w:lang w:eastAsia="en-US"/>
              </w:rPr>
              <w:t>49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B4" w:rsidRPr="00BB08B4" w:rsidRDefault="00965F17" w:rsidP="00965F17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965F17">
              <w:rPr>
                <w:rFonts w:ascii="Times New Roman" w:eastAsia="Calibri" w:hAnsi="Times New Roman" w:cs="Times New Roman"/>
                <w:kern w:val="2"/>
                <w:lang w:eastAsia="en-US"/>
              </w:rPr>
              <w:t>37</w:t>
            </w:r>
          </w:p>
        </w:tc>
      </w:tr>
      <w:tr w:rsidR="00D75351" w:rsidRPr="00BB08B4" w:rsidTr="00572BD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51" w:rsidRPr="00BB08B4" w:rsidRDefault="00D75351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kern w:val="1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51" w:rsidRPr="00BB08B4" w:rsidRDefault="00D75351" w:rsidP="00BB08B4">
            <w:pPr>
              <w:suppressAutoHyphens/>
              <w:jc w:val="center"/>
              <w:rPr>
                <w:rFonts w:ascii="Times New Roman" w:eastAsia="Calibri" w:hAnsi="Times New Roman" w:cs="Times New Roman"/>
                <w:kern w:val="2"/>
                <w:lang w:eastAsia="en-US"/>
              </w:rPr>
            </w:pPr>
            <w:r w:rsidRPr="00BB08B4">
              <w:rPr>
                <w:rFonts w:ascii="Times New Roman" w:eastAsia="Calibri" w:hAnsi="Times New Roman" w:cs="Times New Roman"/>
                <w:kern w:val="1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1" w:rsidRPr="00917CB4" w:rsidRDefault="00D75351" w:rsidP="00572BD0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1" w:rsidRPr="00917CB4" w:rsidRDefault="00D75351" w:rsidP="00572BD0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378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51" w:rsidRPr="00917CB4" w:rsidRDefault="00D75351" w:rsidP="00572BD0">
            <w:pPr>
              <w:suppressAutoHyphens/>
              <w:ind w:right="-2"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lang w:eastAsia="ar-SA"/>
              </w:rPr>
              <w:t>382</w:t>
            </w:r>
          </w:p>
        </w:tc>
      </w:tr>
    </w:tbl>
    <w:p w:rsidR="00BB08B4" w:rsidRPr="00BB08B4" w:rsidRDefault="00BB08B4" w:rsidP="00BB08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75351" w:rsidRPr="00D75351" w:rsidRDefault="00D75351" w:rsidP="00D753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D7535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5351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Воздействие шума.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753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2.11.</w:t>
      </w:r>
      <w:r w:rsidRPr="00D75351"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  <w:t xml:space="preserve"> </w:t>
      </w:r>
      <w:r w:rsidRPr="00D753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Характеристика существующих условий и перспектив развития и размещения транспортной инфраструктуры </w:t>
      </w:r>
      <w:r w:rsidR="00F62C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Тацинского</w:t>
      </w:r>
      <w:r w:rsidRPr="00D7535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поселения.                                                                     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С учетом того, что территория </w:t>
      </w:r>
      <w:r w:rsidR="00F6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Тацинского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по состоянию на 01.0</w:t>
      </w:r>
      <w:r w:rsidR="00F6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.201</w:t>
      </w:r>
      <w:r w:rsidR="00F6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года не является привлекательной для инвесторов (невысокий уровень коммунальной, социальной, транспортной инфраструктуры, и др.) высоких темпов развития транспортной инфраструктуры </w:t>
      </w:r>
      <w:r w:rsidR="00F62C0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Тацинского</w:t>
      </w:r>
      <w:r w:rsidRPr="00D753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на период до 2027 года не ожидается.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351" w:rsidRPr="00D75351" w:rsidRDefault="00D75351" w:rsidP="00D75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2.12. Оценка нормативно-правовой базы, необходимой для функционирования и развития транспортной инфраструктуры </w:t>
      </w:r>
      <w:r w:rsidR="00F6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Тацинского</w:t>
      </w:r>
      <w:r w:rsidRPr="00D7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поселения.     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 комплексного развития транспортной инфраструктуры </w:t>
      </w:r>
      <w:r w:rsidR="00F62C0C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Тацинского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 на 201</w:t>
      </w:r>
      <w:r w:rsidR="00F62C0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- 2027 подготовлена на основании: 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-Градостроительный кодекс Российской Федерации от 29.12.2004 № 190-ФЗ (ред. от 30.12.2015) (с изм. и доп., вступ. в силу с 10.01.2016);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08.11.2007 № 257-ФЗ (ред. от 15.02.2016) «Об автомобильных д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рогах и о дорожной деятельности в Российской Федерации и о внесении изменений в 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дельные законодательные акты Российской Федерации»;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10.12.1995 № 196-ФЗ (ред. от 28.11.2015) «О безопасности доро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движения» (с изм. и доп., вступ. в силу с 15.01.2016);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-Постановление Правительства РФ от 23.10.1993 № 1090 (ред. от 21.01.2016) «О Правилах дорожного движения»;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D75351" w:rsidRPr="00D75351" w:rsidRDefault="00D75351" w:rsidP="00D7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2C0C">
        <w:rPr>
          <w:rFonts w:ascii="Times New Roman" w:eastAsia="Times New Roman" w:hAnsi="Times New Roman" w:cs="Times New Roman"/>
          <w:sz w:val="24"/>
          <w:szCs w:val="24"/>
        </w:rPr>
        <w:t>Генерального плана Тацинского сельского поселения</w:t>
      </w:r>
      <w:r w:rsidRPr="00D75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позволит обеспечить: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мическую деятельность;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б) доступность объектов транспортной инфраструктуры для населения и субъектов эк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номической деятельности в соответствии с нормативами градостроительного проектир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развитие транспортной инфраструктуры, сбалансированное с градостроительной де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тельностью;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д) условия для управления транспортным спросом;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ственной деятельности;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>з) условия для пешеходного и велосипедного передвижения населения;</w:t>
      </w:r>
    </w:p>
    <w:p w:rsidR="00D75351" w:rsidRPr="00D75351" w:rsidRDefault="00D75351" w:rsidP="00D753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эффективность функционирования действующей транспортной инфраструктуры.</w:t>
      </w:r>
    </w:p>
    <w:p w:rsidR="00D75351" w:rsidRPr="00D75351" w:rsidRDefault="00D75351" w:rsidP="00D753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D75351" w:rsidRPr="00D75351" w:rsidRDefault="00D75351" w:rsidP="00D75351">
      <w:pPr>
        <w:numPr>
          <w:ilvl w:val="1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финансирования транспортной инфраструктуры</w:t>
      </w:r>
      <w:r w:rsidRPr="00D7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75351" w:rsidRPr="00D75351" w:rsidRDefault="00D75351" w:rsidP="00D75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D75351" w:rsidRPr="00D75351" w:rsidRDefault="00D75351" w:rsidP="00D75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75351">
        <w:rPr>
          <w:rFonts w:ascii="Times New Roman" w:eastAsia="Times New Roman" w:hAnsi="Times New Roman" w:cs="Times New Roman"/>
          <w:sz w:val="24"/>
          <w:lang w:eastAsia="ar-SA"/>
        </w:rPr>
        <w:t xml:space="preserve">           В таблице 2.13.</w:t>
      </w:r>
      <w:r w:rsidR="00D5236D">
        <w:rPr>
          <w:rFonts w:ascii="Times New Roman" w:eastAsia="Times New Roman" w:hAnsi="Times New Roman" w:cs="Times New Roman"/>
          <w:sz w:val="24"/>
          <w:lang w:eastAsia="ar-SA"/>
        </w:rPr>
        <w:t>1</w:t>
      </w:r>
      <w:r w:rsidRPr="00D75351">
        <w:rPr>
          <w:rFonts w:ascii="Times New Roman" w:eastAsia="Times New Roman" w:hAnsi="Times New Roman" w:cs="Times New Roman"/>
          <w:sz w:val="24"/>
          <w:lang w:eastAsia="ar-SA"/>
        </w:rPr>
        <w:t>, представлены данные по объемам финансирования мероприятий по содержанию и ремонту улично – дорожной сети поселения.</w:t>
      </w:r>
    </w:p>
    <w:p w:rsidR="00D75351" w:rsidRPr="00D75351" w:rsidRDefault="00D75351" w:rsidP="00D75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D75351" w:rsidRPr="00D75351" w:rsidRDefault="00D75351" w:rsidP="00D753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ar-SA"/>
        </w:rPr>
      </w:pPr>
      <w:r w:rsidRPr="00D75351">
        <w:rPr>
          <w:rFonts w:ascii="Times New Roman" w:eastAsia="Times New Roman" w:hAnsi="Times New Roman" w:cs="Times New Roman"/>
          <w:sz w:val="24"/>
          <w:lang w:eastAsia="ar-SA"/>
        </w:rPr>
        <w:t>Таблица 2.13.</w:t>
      </w:r>
      <w:r w:rsidR="00D5236D">
        <w:rPr>
          <w:rFonts w:ascii="Times New Roman" w:eastAsia="Times New Roman" w:hAnsi="Times New Roman" w:cs="Times New Roman"/>
          <w:sz w:val="24"/>
          <w:lang w:eastAsia="ar-SA"/>
        </w:rPr>
        <w:t>1</w:t>
      </w:r>
    </w:p>
    <w:p w:rsidR="00D75351" w:rsidRPr="00D75351" w:rsidRDefault="00D75351" w:rsidP="00D75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D75351">
        <w:rPr>
          <w:rFonts w:ascii="Times New Roman" w:eastAsia="Times New Roman" w:hAnsi="Times New Roman" w:cs="Times New Roman"/>
          <w:b/>
          <w:sz w:val="24"/>
          <w:lang w:eastAsia="ar-SA"/>
        </w:rPr>
        <w:t>Объем финансирования</w:t>
      </w:r>
    </w:p>
    <w:p w:rsidR="00D75351" w:rsidRPr="00D75351" w:rsidRDefault="00D75351" w:rsidP="00D75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9" w:type="dxa"/>
        <w:jc w:val="center"/>
        <w:tblLook w:val="00A0" w:firstRow="1" w:lastRow="0" w:firstColumn="1" w:lastColumn="0" w:noHBand="0" w:noVBand="0"/>
      </w:tblPr>
      <w:tblGrid>
        <w:gridCol w:w="960"/>
        <w:gridCol w:w="3568"/>
        <w:gridCol w:w="2031"/>
        <w:gridCol w:w="1134"/>
        <w:gridCol w:w="1276"/>
      </w:tblGrid>
      <w:tr w:rsidR="00F62C0C" w:rsidRPr="00D75351" w:rsidTr="00F62C0C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</w:tr>
      <w:tr w:rsidR="00F62C0C" w:rsidRPr="00D75351" w:rsidTr="00F62C0C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(план) </w:t>
            </w:r>
          </w:p>
        </w:tc>
      </w:tr>
      <w:tr w:rsidR="00F62C0C" w:rsidRPr="00D75351" w:rsidTr="00F62C0C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улично - доро</w:t>
            </w: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D75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сети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62C0C" w:rsidRPr="00D75351" w:rsidTr="00F62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351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Бюджет поселения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C0C" w:rsidRPr="00D75351" w:rsidRDefault="00F62C0C" w:rsidP="00D753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D75351" w:rsidRPr="00D75351" w:rsidRDefault="00D75351" w:rsidP="00D753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51" w:rsidRPr="00D75351" w:rsidRDefault="00D75351" w:rsidP="00D753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D75351">
        <w:rPr>
          <w:rFonts w:ascii="Times New Roman" w:eastAsia="Times New Roman" w:hAnsi="Times New Roman" w:cs="Times New Roman"/>
          <w:sz w:val="24"/>
          <w:lang w:eastAsia="ar-SA"/>
        </w:rPr>
        <w:t xml:space="preserve">          Содержание и ремонт муниципальных дорог осуществляется по договорам,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 w:rsidR="00BB08B4" w:rsidRPr="00BB08B4" w:rsidRDefault="00BB08B4" w:rsidP="00BB08B4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en-US" w:eastAsia="ar-SA"/>
        </w:rPr>
        <w:t>III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.1. Прогноз социально-экономического и градостроительного развития поселения.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анализе показателей текущего уровня социально-экономического и градостроительного развития </w:t>
      </w:r>
      <w:r w:rsidR="007223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Тацинского 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поселения, отмечается следующее: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транспортная доступность населенных пунктов средн</w:t>
      </w:r>
      <w:r w:rsidR="007223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яя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доходы населения – ниже среднего. Средняя заработная плата населения за 2016 год составила 1</w:t>
      </w:r>
      <w:r w:rsidR="00DD43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2568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руб.</w:t>
      </w: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Демографический прогноз</w:t>
      </w:r>
    </w:p>
    <w:p w:rsidR="00572BD0" w:rsidRPr="00572BD0" w:rsidRDefault="00572BD0" w:rsidP="00572BD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Причинами низкого естественного прироста численности населения являются мн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гие факторы, в том числе низкий уровень жизни, не занятость, не 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беспеченность школ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ми, детскими дошкольными учреждениями, низкое качество предоставления медицинских услуг,  дорогами и др.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Увеличение рождаемости предполагается за счет: - предоставления материнского (семейного) капитала при рождении второго и последующих детей. Денежные средства можно будет направить либо на образование ребенка, либо на приобретение жилья, либо на формирование накопительной части пенсии матери.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 чи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вать восстановлению процессов естественного прироста населения.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На расчетный срок существенных изменений в демографической ситуации посел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ния не предполагается.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Экономический прогноз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DD4304">
        <w:rPr>
          <w:rFonts w:ascii="Times New Roman" w:eastAsia="Times New Roman" w:hAnsi="Times New Roman" w:cs="Times New Roman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 вероятностному сценарию учитывает развитие следующих приоритетных секторов экономики: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сельского хозяйства;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инфраструктуры, прежде всего, в сетевых отраслях: ЖКХ,  дорожной сети, тран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порте,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Устойчивое экономическое развитие </w:t>
      </w:r>
      <w:r w:rsidR="00DD4304" w:rsidRPr="00DD4304">
        <w:rPr>
          <w:rFonts w:ascii="Times New Roman" w:eastAsia="Times New Roman" w:hAnsi="Times New Roman" w:cs="Times New Roman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перспект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ве, может быть достигнуто за счет развития малого предпринимательства и сельского х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зяйства.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 направлению развития малого предпринимательства: 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оказание организационной и консультативной помощи начинающим предприним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телям;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расширение информационно-консультационного поля в сфере предпринимател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ства. По итоговой характеристике социально-экономического развития поселение можно рассматривать как: - перспективное для частных инвестиций, что обосновывается н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большим ростом экономики, средним уровнем доходов населений; 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ведет в будущем к повышению инвестиционной привлекательности территории. Одним из важных направлений специализации экономики поселения является сельское хозяйство. В перспективе возрастет доля таких направлений как транспортные услуги, торговля, соц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альное обслуживание, малое предпринимательство.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Прогноз транспортного спроса </w:t>
      </w:r>
      <w:r w:rsidR="00DD4304" w:rsidRPr="00DD4304">
        <w:rPr>
          <w:rFonts w:ascii="Times New Roman" w:eastAsia="Times New Roman" w:hAnsi="Times New Roman" w:cs="Times New Roman"/>
          <w:b/>
          <w:bCs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поселения, объемов и характера передвижения и перевозок грузов по видам транспорта, имеющегося на территории поселения</w:t>
      </w:r>
      <w:r w:rsidRPr="00572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DD4304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Демографическая ситуация в поселении позволяет сделать вывод, что значительного изменения транспортного спроса, объемов и характера передвижения населения на терр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тории </w:t>
      </w:r>
      <w:r w:rsidR="00DD4304" w:rsidRPr="00DD4304">
        <w:rPr>
          <w:rFonts w:ascii="Times New Roman" w:eastAsia="Times New Roman" w:hAnsi="Times New Roman" w:cs="Times New Roman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планируется.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При этом предприятия и организации, предоставляющие автотранспортные услуги населению, обязаны систематически, не реже 1 раза в 5 лет, организовывать обследования пассажиропотока. 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 Обследование пассажироп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токов проводится в соответствии с действующими нормативными документами. 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572BD0" w:rsidRPr="00572BD0" w:rsidRDefault="00572BD0" w:rsidP="00572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3.3. Прогноз развития транспортно</w:t>
      </w:r>
      <w:r w:rsidR="00DD43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й</w:t>
      </w: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инфраструктуры по видам транспорта.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автомобильный. Транспортная связь с областным и населенными пунктами будет осуществляться общественным транспортом (автобусное сообщение) и личным транспортом, внутри населенных пунктов личным транспортом и пешеходное сообщение.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3.4. Прогноз развития дорожной сети поселения.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Основными направлениями развития  дорожной сети поселения в период реализации Программы будет являться сохранение и увеличение протяженности автомобильных дорог общего пользования, соответствующих нормативным требованиям, за счет ремонта и капитального ремонта,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3.5. Прогноз уровня автомобилизации, параметров дорожного движения.</w:t>
      </w:r>
    </w:p>
    <w:p w:rsidR="00572BD0" w:rsidRP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572BD0" w:rsidRPr="00572BD0" w:rsidRDefault="00572BD0" w:rsidP="00572B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Прогноз изменения уровня автомобилизации и количества автомобилей у населения на территории </w:t>
      </w:r>
      <w:r w:rsidR="00DD4304" w:rsidRPr="00DD430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Тацинского</w:t>
      </w: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сельского поселения</w:t>
      </w:r>
    </w:p>
    <w:p w:rsidR="00572BD0" w:rsidRP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639" w:type="dxa"/>
        <w:jc w:val="center"/>
        <w:tblInd w:w="-502" w:type="dxa"/>
        <w:tblLook w:val="00A0" w:firstRow="1" w:lastRow="0" w:firstColumn="1" w:lastColumn="0" w:noHBand="0" w:noVBand="0"/>
      </w:tblPr>
      <w:tblGrid>
        <w:gridCol w:w="581"/>
        <w:gridCol w:w="3609"/>
        <w:gridCol w:w="1529"/>
        <w:gridCol w:w="1230"/>
        <w:gridCol w:w="1230"/>
        <w:gridCol w:w="1230"/>
        <w:gridCol w:w="1230"/>
      </w:tblGrid>
      <w:tr w:rsidR="00572BD0" w:rsidRPr="00572BD0" w:rsidTr="00572BD0">
        <w:trPr>
          <w:trHeight w:val="6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947738" w:rsidRPr="00572BD0" w:rsidTr="00FB50DF">
        <w:trPr>
          <w:trHeight w:val="273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738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38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38" w:rsidRPr="002162F8" w:rsidRDefault="00947738" w:rsidP="00F85CBA">
            <w:r w:rsidRPr="002162F8">
              <w:t>11455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38" w:rsidRDefault="00947738" w:rsidP="00F85CBA">
            <w:r>
              <w:t>11500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738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11600</w:t>
            </w:r>
          </w:p>
          <w:p w:rsidR="00947738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38" w:rsidRPr="00572BD0" w:rsidRDefault="00947738" w:rsidP="009477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738" w:rsidRPr="00572BD0" w:rsidRDefault="00947738" w:rsidP="0094773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11800</w:t>
            </w:r>
          </w:p>
        </w:tc>
      </w:tr>
      <w:tr w:rsidR="00572BD0" w:rsidRPr="00572BD0" w:rsidTr="00572BD0">
        <w:trPr>
          <w:trHeight w:val="615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572BD0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автомобилей у нас</w:t>
            </w: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ед.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BD0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BD0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BD0" w:rsidRPr="00572BD0" w:rsidRDefault="00947738" w:rsidP="00572BD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</w:tr>
    </w:tbl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3.6. Прогноз показателей безопасности дорожного движения. </w:t>
      </w:r>
    </w:p>
    <w:p w:rsidR="001E7FE7" w:rsidRPr="00572BD0" w:rsidRDefault="001E7FE7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Рост аварийности не предполагается.</w:t>
      </w:r>
    </w:p>
    <w:p w:rsidR="00572BD0" w:rsidRPr="00572BD0" w:rsidRDefault="00572BD0" w:rsidP="00572BD0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572BD0" w:rsidRPr="00572BD0" w:rsidRDefault="00572BD0" w:rsidP="00572B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3.7. Прогноз негативного воздействия транспортной инфраструктуры на окружающую среду и здоровье человека.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572BD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загрязнение атмосферы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VI. Укрупненная оценка принципиальных вариантов развития транспортной инфраструктуры </w:t>
      </w:r>
      <w:r w:rsidR="003879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Тацинского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сельского поселения.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рассмотрении принципиальных вариантов развития транспортной инфр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структуры </w:t>
      </w:r>
      <w:r w:rsidR="00387931" w:rsidRPr="0038793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Тацинского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Поселения.</w:t>
      </w:r>
    </w:p>
    <w:p w:rsidR="00572BD0" w:rsidRPr="00572BD0" w:rsidRDefault="00572BD0" w:rsidP="00572B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разработке сценариев развития транспортного комплекса предполагается ко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м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плексная реализация основных мероприятий по развитию улично-дорожной сети в </w:t>
      </w:r>
      <w:r w:rsidR="00387931" w:rsidRPr="00387931">
        <w:rPr>
          <w:rFonts w:ascii="Times New Roman" w:eastAsia="Times New Roman" w:hAnsi="Times New Roman" w:cs="Times New Roman"/>
          <w:sz w:val="24"/>
          <w:szCs w:val="24"/>
          <w:lang w:eastAsia="en-US"/>
        </w:rPr>
        <w:t>Таци</w:t>
      </w:r>
      <w:r w:rsidR="00387931" w:rsidRPr="00387931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="00387931" w:rsidRPr="00387931">
        <w:rPr>
          <w:rFonts w:ascii="Times New Roman" w:eastAsia="Times New Roman" w:hAnsi="Times New Roman" w:cs="Times New Roman"/>
          <w:sz w:val="24"/>
          <w:szCs w:val="24"/>
          <w:lang w:eastAsia="en-US"/>
        </w:rPr>
        <w:t>ского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сельском поселении, предполагается рост транспортной инфраструктуры опереж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ющими темпами, расширение индивидуального жилищного строительства, развитие и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фраструктуры пассажирских перевозок. </w:t>
      </w:r>
    </w:p>
    <w:p w:rsidR="00572BD0" w:rsidRPr="00572BD0" w:rsidRDefault="00572BD0" w:rsidP="00572B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Сценарий развития транспортного комплекса предполагает развитие экономики в условиях повышения доверия частного бизнеса, применения дополнительных мер стим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лирующего характера, связанных с расходами бюджета по финансированию новых и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фраструктурных проектов, поддержанию кредитования наиболее уязвимых секторов эк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номики, увеличению финансирования развития человеческого капитала.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 xml:space="preserve">V. Перечень мероприятий (инвестиционных проектов) по проектированию, строительству, реконструкции объектов транспортной инфраструктуры </w:t>
      </w:r>
      <w:r w:rsidR="00387931" w:rsidRPr="003879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Тацинского 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сельского поселения предлагаемого к реализации варианта развития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7931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Достижение целей и решение задач Программы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 поселения. Разработанные программные мероприятия систематизированы по степени их актуальности. Список мероприятий на конкретном объекте детализируется после разработки проектно-сметной документации.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бюджета </w:t>
      </w:r>
      <w:r w:rsidR="00387931" w:rsidRPr="003879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Тацинского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поселения. Механизм реализации Программы включает в себя систему мероприятий, </w:t>
      </w:r>
      <w:r w:rsidR="00387931"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приводящихся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обследованию, содержанию, ремонту, паспортизации автомобильных дорог общего пользования местного значения в сельском поселении, мероприятия по обеспечению безопасности дорожного движения (приобретение дорожных знаков), мероприятия по организации транспортного обслуживания населения. Перечень мероприятий по ремонту дорог, формируется администрацией </w:t>
      </w:r>
      <w:r w:rsidR="00387931" w:rsidRPr="0038793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Тацинского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от поступивших обращений (жалоб) граждан. Перечень и виды работ по содержанию и текущему ремонту автомобильных дорог 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572BD0" w:rsidRPr="00572BD0" w:rsidRDefault="00572BD0" w:rsidP="003879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sz w:val="24"/>
          <w:lang w:eastAsia="en-US"/>
        </w:rPr>
        <w:t xml:space="preserve">       Мероприятия по созданию и развитию сети дорог</w:t>
      </w:r>
      <w:r w:rsidRPr="00572BD0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, </w:t>
      </w:r>
      <w:r w:rsidRPr="00572BD0">
        <w:rPr>
          <w:rFonts w:ascii="Times New Roman" w:eastAsia="Times New Roman" w:hAnsi="Times New Roman" w:cs="Times New Roman"/>
          <w:sz w:val="24"/>
          <w:lang w:eastAsia="ar-SA"/>
        </w:rPr>
        <w:t>в</w:t>
      </w:r>
      <w:r w:rsidRPr="00572BD0">
        <w:rPr>
          <w:rFonts w:ascii="Times New Roman" w:eastAsia="Times New Roman" w:hAnsi="Times New Roman" w:cs="Times New Roman"/>
          <w:sz w:val="24"/>
          <w:lang w:eastAsia="en-US"/>
        </w:rPr>
        <w:t xml:space="preserve"> целях повышения качественного уровня улично–дорожной сети поселения, недопущения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поселения </w:t>
      </w:r>
      <w:r w:rsidR="00387931">
        <w:rPr>
          <w:rFonts w:ascii="Times New Roman" w:eastAsia="Times New Roman" w:hAnsi="Times New Roman" w:cs="Times New Roman"/>
          <w:sz w:val="24"/>
          <w:lang w:eastAsia="en-US"/>
        </w:rPr>
        <w:t>.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5.1. Мероприятия по развитию транспортной инфраструктуры по видам транспорта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Внесение изменений в структуру транспортной инфраструктуры по видам транспорта не планируется.</w:t>
      </w:r>
    </w:p>
    <w:p w:rsidR="001C60ED" w:rsidRPr="001C60ED" w:rsidRDefault="001C60ED" w:rsidP="001C60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Местная сеть:</w:t>
      </w:r>
    </w:p>
    <w:p w:rsidR="00572BD0" w:rsidRPr="001C60ED" w:rsidRDefault="001C60ED" w:rsidP="001C60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пределах существующей застройки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возможна</w:t>
      </w: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реконструкция местных улиц и проездов с целью приведения их технических параметров к нормативным.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5.2.</w:t>
      </w:r>
      <w:r w:rsidR="001C60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Мероприятия по развитию транспорта общего пользования, созданию транспортно-пересадочных узлов. 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Сохраняется существующая система обслуживания населения общественным пассажирским транспортом. Количество транспорта общего пользования не планируется к изменению.</w:t>
      </w:r>
    </w:p>
    <w:p w:rsidR="001C60ED" w:rsidRPr="001C60ED" w:rsidRDefault="001C60ED" w:rsidP="001C60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 территории станицы не предусмотрено движение общественного транспорта.</w:t>
      </w:r>
    </w:p>
    <w:p w:rsidR="00572BD0" w:rsidRPr="00572BD0" w:rsidRDefault="001C60ED" w:rsidP="001C60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Возможна </w:t>
      </w: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организ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ация</w:t>
      </w: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маршрутно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го</w:t>
      </w: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сообще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ства</w:t>
      </w:r>
      <w:r w:rsidRPr="001C60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внутри станицы.</w:t>
      </w:r>
    </w:p>
    <w:p w:rsidR="001C60ED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5.3.</w:t>
      </w:r>
      <w:r w:rsidR="001C60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Мероприятия по развитию инфраструктуры для легкового автомобильного транспорта, включая развитие единого парковочного пространства.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полученному прогнозу среднее арифметическое значение плотности улично-дорожной сети с 2016г. до </w:t>
      </w:r>
      <w:smartTag w:uri="urn:schemas-microsoft-com:office:smarttags" w:element="metricconverter">
        <w:smartTagPr>
          <w:attr w:name="ProductID" w:val="2027 г"/>
        </w:smartTagPr>
        <w:r w:rsidRPr="00572BD0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2027 г</w:t>
        </w:r>
      </w:smartTag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 меняется. Это означает: нет потребности в увеличении плотности улично-дорожной сети. 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 xml:space="preserve">Хранение </w:t>
      </w:r>
      <w:r w:rsidRPr="001C60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автомашин в индивидуальной  застройке осуществляется на приусадебных участках. В  малоэтажной застройке предусматриваются отдельно стоящие гаражи и о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lastRenderedPageBreak/>
        <w:t>крытые стоянки с 90% -ой обеспеченностью машино-мест. Площадь земельных участков для открытых автостоянок принята из расчета 25 кв.м на одну машину.                                                               Для общественных зданий расчет автостоянок     осуществляется со следующими норм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ми: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·административно-общественные здания - 20машино-мести на 100 работающих;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·поликлиники - 3 машино-места на 100 посещений;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·спортивные объекты - 5 машино-мест на 100 посетителей;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·школы - 15 машино-мест       на 100 работающих;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·торговые центры - 7 машино-мест на 100кв.м торговой площади;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·рестораны и кафе - 15 машино-мест на 100 посадочных мест.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>По СНиП 2.07.01-89* станции технического обслуживания проектируют из расчета  один пост на 200 машин. Существующее количество СТО  - 3 шт. на 13 постов соотве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ствует  нормативной обеспеченности существующей автомобилизации поселения 230  машин на 1000 человек. Исходя из автомобилизации населения 350 автомобилей на 1000человек на 1-ю очередь   для обслуживания 4003 автомобилей необходимо  СТО на 20 постов, что соответствует 2,0 га площади,</w:t>
      </w:r>
    </w:p>
    <w:p w:rsidR="001C60ED" w:rsidRPr="001C60ED" w:rsidRDefault="001C60ED" w:rsidP="001C60E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0ED">
        <w:rPr>
          <w:rFonts w:ascii="Times New Roman" w:eastAsia="Times New Roman" w:hAnsi="Times New Roman" w:cs="Times New Roman"/>
          <w:sz w:val="24"/>
          <w:szCs w:val="24"/>
        </w:rPr>
        <w:t xml:space="preserve">На расчетный срок с автомобилизацией населения 500 автомобилей на 1000 человек для обслуживания 6324 автомобилей  потребуется СТО на 32 поста, что соответствует 3га площади. </w:t>
      </w:r>
      <w:r w:rsidR="00BF3F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редлагается разместить  на первую очередь  дополнительное  СТО на 10 п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C60ED">
        <w:rPr>
          <w:rFonts w:ascii="Times New Roman" w:eastAsia="Times New Roman" w:hAnsi="Times New Roman" w:cs="Times New Roman"/>
          <w:sz w:val="24"/>
          <w:szCs w:val="24"/>
        </w:rPr>
        <w:t xml:space="preserve">стов , с условием отвода резервных территорий  для размещения  дополнительных постов на расчетный срок. 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kern w:val="1"/>
          <w:sz w:val="28"/>
          <w:szCs w:val="28"/>
          <w:lang w:eastAsia="ar-SA"/>
        </w:rPr>
      </w:pP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5.4.</w:t>
      </w:r>
      <w:r w:rsidR="00BF3F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Мероприятия по развитию инфраструктуры пешеходного и велосипедного передвижения.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Мероприятия по развитию велосипедного передвижения возможны к реализации как дополнительные при получении дополнительных доходов местного бюджета или появления возможности финансирования из иных источников.</w:t>
      </w:r>
    </w:p>
    <w:p w:rsidR="00572BD0" w:rsidRPr="001C60ED" w:rsidRDefault="001C60ED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C60E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Создание в станице зон отдыха, спортивных площадок, которые будут связаны с жилой застройкой пешеходными и велосипедными дорожками. Велосипедные дорожки следует совмещать с пешеходными путями сообщения по наиболее живописным и хорошо озелененным территориям. Также необходимо выделять полосы для велосипедного движения вдоль главных улиц в населенных пунктах.</w:t>
      </w:r>
    </w:p>
    <w:p w:rsidR="001C60ED" w:rsidRDefault="001C60ED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60ED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5.5.</w:t>
      </w:r>
      <w:r w:rsidR="00BF3FBB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Мероприятия по развитию инфраструктуры для грузового транспорта, транспортных средств коммунальных и дорожных служб. 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Мероприятия по развитию инфраструктуры для грузового транспорта, транспортных средств коммунальных и дорожных служб не планируются.</w:t>
      </w:r>
    </w:p>
    <w:p w:rsidR="00572BD0" w:rsidRPr="00572BD0" w:rsidRDefault="00572BD0" w:rsidP="00572BD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5.6.</w:t>
      </w:r>
      <w:r w:rsidR="001C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Мероприятия по развитию сети автомобильных дорог общего пользования местного значения </w:t>
      </w:r>
      <w:r w:rsidR="001C6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поселения.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развития сети дорог поселения планируются: 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Мероприятия по содержанию автомобильных дорог общего пользования местного значения. Реализация мероприятий позволит сохранить протяженность участков автом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бильных дорог общего пользования местного значения, на которых показатели их тран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портно-эксплуатационного состояния соответствуют требованиям стандартов к эксплу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тационным показателям автомобильных дорог. 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Мероприятия по ремонту автомобильных дорог общего пользования местного зн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 Реализация мероприятий позволит сохранить протяженность участков автомобил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ных дорог общего пользования местного значения, на которых показатели их транспор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но-эксплуатационного состояния соответствуют категории дороги. </w:t>
      </w: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Реализация мероприятий позволит сохранить протяженность автомобильных дорог общего пользования местного значения. </w:t>
      </w: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- Мероприятия по паспортизации бесхозяйных участков дорог, находящихся на территории поселения. Реализация мероприятий позволит изготовить технические </w:t>
      </w:r>
      <w:r w:rsidRPr="00572BD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паспорта, технические планы, кадастровые паспорта на автомобильные дороги общего пользования местного значения. </w:t>
      </w: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VI. Оценка объемов и источников финансирования мероприятий по проектиров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а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нию, строительству, реконструкции объектов транспортной инфраструктуры пре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лагаемого к реализации варианта развития транспортной инфраструктуры</w:t>
      </w: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Финансирование программы осуществляется за счет средств бюджета </w:t>
      </w:r>
      <w:r w:rsidR="001C60E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Тацинского</w:t>
      </w:r>
      <w:r w:rsidR="0070357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поселения. Ежегодные объемы финансирования программы определяются в соответствии с утвержденным бюджетом </w:t>
      </w:r>
      <w:r w:rsidR="001C60E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Тацинского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на соответствующий фина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совый год и с учетом дополнительных источников финансирования. </w:t>
      </w:r>
    </w:p>
    <w:p w:rsidR="00572BD0" w:rsidRPr="00572BD0" w:rsidRDefault="00572BD0" w:rsidP="00572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72BD0" w:rsidRPr="00572BD0" w:rsidRDefault="00572BD0" w:rsidP="00572B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en-US"/>
        </w:rPr>
        <w:t>VII</w:t>
      </w:r>
      <w:r w:rsidRPr="00572BD0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.</w:t>
      </w:r>
      <w:r w:rsidRPr="00572B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мероприятий по проектированию, строительству, р</w:t>
      </w: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конструкции объектов транспортной инфраструктуры предлагаемого к реализации варианта развития транспортной инфраструктуры.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Комплексная оценка эффективности реализации мероприятий Программы осущест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фективности, установленных Методикой.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7.1. Оценка эффективности реализации муниципальной программы осуществляется еж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лями.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7.2. 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лизацию муниципальной программы; степень достижения планируемых значений показ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телей муниципальной программы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7.3. Расчет итоговой оценки эффективности муниципальной программы за отчетный ф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нансовый год осуществляется, раздельно по каждому из критериев оценки эффективности муниципальной программы: </w:t>
      </w:r>
    </w:p>
    <w:p w:rsidR="00572BD0" w:rsidRPr="00572BD0" w:rsidRDefault="0070357C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2BD0" w:rsidRPr="00572BD0">
        <w:rPr>
          <w:rFonts w:ascii="Times New Roman" w:eastAsia="Times New Roman" w:hAnsi="Times New Roman" w:cs="Times New Roman"/>
          <w:sz w:val="24"/>
          <w:szCs w:val="24"/>
        </w:rPr>
        <w:t>расчет P1 - оценки эффективности муниципальной программы по критерию «полнота и эффективность использования средств бюджета на реализацию муниципальной програ</w:t>
      </w:r>
      <w:r w:rsidR="00572BD0" w:rsidRPr="00572BD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72BD0" w:rsidRPr="00572BD0">
        <w:rPr>
          <w:rFonts w:ascii="Times New Roman" w:eastAsia="Times New Roman" w:hAnsi="Times New Roman" w:cs="Times New Roman"/>
          <w:sz w:val="24"/>
          <w:szCs w:val="24"/>
        </w:rPr>
        <w:t xml:space="preserve">мы»;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расчет P2 - оценки эффективности муниципальной программы по критерию «степень д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стижения планируемых значений показателей муниципальной программы»;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- расчет Pитог - итоговой оценки эффективности муниципальной программы.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7.4. Итоговая оценка эффективности муниципальной программы (Pитог) не является абс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лютным и однозначным показателем эффективности программы. Каждый критерий по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лежит самостоятельному анализу причин его выполнения (или невыполнения) при оценке эффективности реализации программы.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7.5. Расчет P1 - оценки эффективности программы по критерию «полнота и эффекти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ность использования средств бюджета на реализацию муниципальной программы» ос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по следующей формуле: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P1 = (Vфакт + u) / Vпл * 100%, (1)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где: Vфакт - фактический объем бюджетных средств, направленных на реализацию пр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граммы за отчетный год;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Vпл - плановый объем бюджетных средств на реализацию муниципальной программы в отчетном году;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lastRenderedPageBreak/>
        <w:t>u - сумма «положительной экономии». К «положительной экономии» относится: экономия средств бюджетов в результате осуществления закупок товаров, работ, услуг для муниц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пальных нужд.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7.6. Интерпретация оценки эффективности муниципальной программы по критерию «полнота и эффективность использования средств бюджетов на реализацию программы» осуществляется по следующим критериям: программа выполнена в полном объеме, если P1 = 100%; программа в целом выполнена, если 80% &lt; P1 &lt; 100%; программа не выполн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на, если P1 &lt; 80%.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7.7. Расчет P2 - оценки эффективности программы по критерию «степень достижения планируемых значений показателей программы» осуществляется по формуле: P2 = SUM Ki / N, i = 1 (2), где: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Ki - исполнение i планируемого значения показателя й программы за отчетный год в пр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центах; N - число планируемых значений показателей муниципальной программы. Испо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по каждому показателю муниципальной программы за отчетный год осуществляе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ся по формуле: Ki = Пi факт / Пi пл * 100%, (3) где: Пi факт - фактическое значение i пок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 за отчетный год; Пi пл - плановое значение i показателя на отчетный год.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 формуле: Ki = 100%. (4) В случае если планом установлено значение п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казателя равное нулю, то при превышении фактического значения показателя плана ра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чет исполнения по каждому показателю осуществляется по формуле: Ki = 0%. (5 )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7.8. Интерпретация оценки эффективности муниципальной программы по критерию «ст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пень достижения планируемых значений показателей муниципальной программы» ос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 следующим критериям: муниципальная программа перевыполнена, если P2 &gt; 100%; муниципальная программа выполнена в полном объеме, если 90% &lt; P2 &lt; 100%; муниципальная программа в целом выполнена, если 75% &lt; P2 &lt; 95% муниципал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программа не выполнена, если P2 &lt; 75%. 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7.9. Итоговая оценка эффективности муниципальной программы осуществляется по фо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муле: Pитог = (P1 + P2) / 2, (6) где: Pитог - итоговая оценка эффективности муниципал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программы за отчетный год.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7.10. Интерпретация итоговой оценки эффективности муниципальной программы ос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 по следующим критериям: P итог &gt; 100% высокоэффективная; 90% &lt; P итог &lt; 100% эффективная; 75% &lt; P итог &lt; 90% умеренно эффективная; P итог &lt; 75% неэффе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тивная. 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7.11. Результаты итоговой оценки эффективности муниципальной программы (значение P итог) и вывод о ее эффективности (интерпретация оценки) представляются вместе с год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выми отчетами в финансовый отдел администрации </w:t>
      </w:r>
      <w:r w:rsidR="0070357C">
        <w:rPr>
          <w:rFonts w:ascii="Times New Roman" w:eastAsia="Times New Roman" w:hAnsi="Times New Roman" w:cs="Times New Roman"/>
          <w:sz w:val="24"/>
          <w:szCs w:val="24"/>
        </w:rPr>
        <w:t xml:space="preserve">Тацинского 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сельского поселения в установленные сроки.</w:t>
      </w:r>
    </w:p>
    <w:p w:rsidR="00572BD0" w:rsidRPr="00572BD0" w:rsidRDefault="00572BD0" w:rsidP="00572B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мероприятий программы позволит обеспечить к 2027 году:</w:t>
      </w:r>
    </w:p>
    <w:p w:rsidR="00572BD0" w:rsidRPr="00572BD0" w:rsidRDefault="00572BD0" w:rsidP="00572B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транспортно-эксплуатационного состояния существующей дорожной сети автомобильных дорог;</w:t>
      </w:r>
    </w:p>
    <w:p w:rsidR="00572BD0" w:rsidRPr="00572BD0" w:rsidRDefault="00572BD0" w:rsidP="00572B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безопасности дорожного движения;</w:t>
      </w:r>
    </w:p>
    <w:p w:rsidR="00572BD0" w:rsidRPr="00572BD0" w:rsidRDefault="00572BD0" w:rsidP="00572BD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благоприятного климата для привлечения инвестиций в экономику поселения. В результате реализации Программы:</w:t>
      </w: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BD0" w:rsidRPr="00572BD0" w:rsidRDefault="00572BD0" w:rsidP="00572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рии </w:t>
      </w:r>
      <w:r w:rsidR="00703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поселения. </w:t>
      </w:r>
    </w:p>
    <w:p w:rsidR="00572BD0" w:rsidRPr="00572BD0" w:rsidRDefault="00572BD0" w:rsidP="00572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BD0" w:rsidRPr="00572BD0" w:rsidRDefault="00572BD0" w:rsidP="00572B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</w:pPr>
      <w:r w:rsidRPr="00572BD0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реконструкции объектов транспортной инфраструктуры предполагается оставить в неизменном виде.</w:t>
      </w:r>
    </w:p>
    <w:p w:rsidR="00572BD0" w:rsidRPr="00572BD0" w:rsidRDefault="00572BD0" w:rsidP="00572BD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Arial"/>
          <w:kern w:val="1"/>
          <w:sz w:val="24"/>
          <w:szCs w:val="24"/>
          <w:lang w:eastAsia="ar-SA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0181C">
        <w:rPr>
          <w:rFonts w:ascii="Times New Roman" w:eastAsia="Times New Roman" w:hAnsi="Times New Roman" w:cs="Times New Roman"/>
          <w:sz w:val="24"/>
          <w:szCs w:val="24"/>
        </w:rPr>
        <w:t>Тацинского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вают:</w:t>
      </w:r>
    </w:p>
    <w:p w:rsidR="00572BD0" w:rsidRPr="00572BD0" w:rsidRDefault="00572BD0" w:rsidP="005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ежегодное уточнение плана мероприятий по реализации Программы по объемам и и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точникам финансирования мероприятий;</w:t>
      </w:r>
    </w:p>
    <w:p w:rsidR="00572BD0" w:rsidRPr="00572BD0" w:rsidRDefault="00572BD0" w:rsidP="005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контроль за реализацией программных мероприятий по срокам, содержанию, финанс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вым затратам и ресурсам;</w:t>
      </w:r>
    </w:p>
    <w:p w:rsidR="00572BD0" w:rsidRPr="00572BD0" w:rsidRDefault="00572BD0" w:rsidP="0057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- методическое, информационное и организационное сопровождение работы по реализ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ции комплекса программных мероприятий.</w:t>
      </w: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Программа разрабатывается сроком на 10 лет и подлежит корректировке ежегодно.</w:t>
      </w: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План-график работ по реализации программы должен соответствовать плану мер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приятий, содержащемуся в разделе «Программа инвестиционных проектов, обеспечив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ющих достижение целевых показателей» настоящего Отчета. Принятие решений по выд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ством.</w:t>
      </w:r>
    </w:p>
    <w:p w:rsidR="00572BD0" w:rsidRPr="00572BD0" w:rsidRDefault="00572BD0" w:rsidP="0057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Мониторинг выполнения Программы осуществляется посредством сбора, обрабо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ки и анализа информации. Сбор исходной информации производится по показателям, х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рактеризующим выполнение Программы, а также состоянию транспортной  инфрастру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 xml:space="preserve">туры. </w:t>
      </w:r>
    </w:p>
    <w:p w:rsidR="00572BD0" w:rsidRPr="00572BD0" w:rsidRDefault="00572BD0" w:rsidP="0057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BD0">
        <w:rPr>
          <w:rFonts w:ascii="Times New Roman" w:eastAsia="Times New Roman" w:hAnsi="Times New Roman" w:cs="Times New Roman"/>
          <w:sz w:val="24"/>
          <w:szCs w:val="24"/>
        </w:rPr>
        <w:t>Разработка и последующая корректировка Программы комплексного развития транспортной  инфраструктуры базируется на необходимости достижения целевых уро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ней муниципальных стандартов качества предоставления транспортных услуг при собл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572BD0">
        <w:rPr>
          <w:rFonts w:ascii="Times New Roman" w:eastAsia="Times New Roman" w:hAnsi="Times New Roman" w:cs="Times New Roman"/>
          <w:sz w:val="24"/>
          <w:szCs w:val="24"/>
        </w:rPr>
        <w:t>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572BD0" w:rsidRPr="00572BD0" w:rsidRDefault="00572BD0" w:rsidP="0057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2BD0" w:rsidRPr="00572BD0" w:rsidRDefault="00572BD0" w:rsidP="00572BD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BD0" w:rsidRPr="00572BD0" w:rsidRDefault="00572BD0" w:rsidP="00572BD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20C" w:rsidRPr="0089020C" w:rsidRDefault="0089020C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083"/>
    </w:p>
    <w:p w:rsidR="0089020C" w:rsidRPr="0089020C" w:rsidRDefault="0089020C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020C" w:rsidRDefault="0089020C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B76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B76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B76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B76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1B76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"/>
    <w:p w:rsidR="00C61B76" w:rsidRPr="0089020C" w:rsidRDefault="00C61B76" w:rsidP="0089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61B76" w:rsidRPr="0089020C" w:rsidSect="004D493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18634F36"/>
    <w:multiLevelType w:val="hybridMultilevel"/>
    <w:tmpl w:val="3E92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2EC9"/>
    <w:multiLevelType w:val="multilevel"/>
    <w:tmpl w:val="3B3833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3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b/>
      </w:rPr>
    </w:lvl>
  </w:abstractNum>
  <w:abstractNum w:abstractNumId="8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668F1"/>
    <w:rsid w:val="00073D20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6111"/>
    <w:rsid w:val="00127EC3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259C"/>
    <w:rsid w:val="0019329E"/>
    <w:rsid w:val="00195F90"/>
    <w:rsid w:val="001A2C65"/>
    <w:rsid w:val="001A41AB"/>
    <w:rsid w:val="001B0833"/>
    <w:rsid w:val="001B08F0"/>
    <w:rsid w:val="001B70E5"/>
    <w:rsid w:val="001C60ED"/>
    <w:rsid w:val="001D0A69"/>
    <w:rsid w:val="001D37D0"/>
    <w:rsid w:val="001D3ABB"/>
    <w:rsid w:val="001D4FB9"/>
    <w:rsid w:val="001E07BB"/>
    <w:rsid w:val="001E361E"/>
    <w:rsid w:val="001E4066"/>
    <w:rsid w:val="001E5CEE"/>
    <w:rsid w:val="001E7FE7"/>
    <w:rsid w:val="0020181C"/>
    <w:rsid w:val="00204764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475"/>
    <w:rsid w:val="00272A77"/>
    <w:rsid w:val="00273D17"/>
    <w:rsid w:val="002774C9"/>
    <w:rsid w:val="002920E1"/>
    <w:rsid w:val="00295652"/>
    <w:rsid w:val="002A016F"/>
    <w:rsid w:val="002A01ED"/>
    <w:rsid w:val="002C340E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455B"/>
    <w:rsid w:val="00354FC5"/>
    <w:rsid w:val="0035587A"/>
    <w:rsid w:val="003605D1"/>
    <w:rsid w:val="003613AA"/>
    <w:rsid w:val="00374F40"/>
    <w:rsid w:val="00383039"/>
    <w:rsid w:val="003836C9"/>
    <w:rsid w:val="00384B7A"/>
    <w:rsid w:val="00387931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4591"/>
    <w:rsid w:val="003D7EF5"/>
    <w:rsid w:val="003E1791"/>
    <w:rsid w:val="003E4744"/>
    <w:rsid w:val="003E47C6"/>
    <w:rsid w:val="003E6867"/>
    <w:rsid w:val="003E6F2C"/>
    <w:rsid w:val="004039A5"/>
    <w:rsid w:val="00416D27"/>
    <w:rsid w:val="00417AE9"/>
    <w:rsid w:val="004216DF"/>
    <w:rsid w:val="004255F3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2308"/>
    <w:rsid w:val="005242ED"/>
    <w:rsid w:val="00525AD7"/>
    <w:rsid w:val="00532508"/>
    <w:rsid w:val="00535514"/>
    <w:rsid w:val="00542E4D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2BD0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2AB8"/>
    <w:rsid w:val="005E52A9"/>
    <w:rsid w:val="005E72AC"/>
    <w:rsid w:val="005F3662"/>
    <w:rsid w:val="00604E52"/>
    <w:rsid w:val="00610C2C"/>
    <w:rsid w:val="0061251A"/>
    <w:rsid w:val="00614236"/>
    <w:rsid w:val="00614F14"/>
    <w:rsid w:val="006227E7"/>
    <w:rsid w:val="00624F65"/>
    <w:rsid w:val="006300D9"/>
    <w:rsid w:val="00630B72"/>
    <w:rsid w:val="00640257"/>
    <w:rsid w:val="00654561"/>
    <w:rsid w:val="0066160C"/>
    <w:rsid w:val="00666AB7"/>
    <w:rsid w:val="00673376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42C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357C"/>
    <w:rsid w:val="0071029D"/>
    <w:rsid w:val="00710390"/>
    <w:rsid w:val="00712D66"/>
    <w:rsid w:val="00722305"/>
    <w:rsid w:val="007477CD"/>
    <w:rsid w:val="007511DD"/>
    <w:rsid w:val="00751D82"/>
    <w:rsid w:val="0075214D"/>
    <w:rsid w:val="0075236D"/>
    <w:rsid w:val="00753B96"/>
    <w:rsid w:val="00756F75"/>
    <w:rsid w:val="00767315"/>
    <w:rsid w:val="0076733F"/>
    <w:rsid w:val="00781178"/>
    <w:rsid w:val="007910E7"/>
    <w:rsid w:val="00794741"/>
    <w:rsid w:val="00794EE8"/>
    <w:rsid w:val="00795A49"/>
    <w:rsid w:val="00796C24"/>
    <w:rsid w:val="007A0204"/>
    <w:rsid w:val="007A0EBA"/>
    <w:rsid w:val="007B414F"/>
    <w:rsid w:val="007C105D"/>
    <w:rsid w:val="007C4E93"/>
    <w:rsid w:val="007C7646"/>
    <w:rsid w:val="007D19BC"/>
    <w:rsid w:val="007E4A6C"/>
    <w:rsid w:val="007E7DA1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32D3D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8F1674"/>
    <w:rsid w:val="00901E87"/>
    <w:rsid w:val="009028F8"/>
    <w:rsid w:val="00903358"/>
    <w:rsid w:val="00904067"/>
    <w:rsid w:val="00904321"/>
    <w:rsid w:val="00905BA1"/>
    <w:rsid w:val="0091148D"/>
    <w:rsid w:val="009124D7"/>
    <w:rsid w:val="0091728B"/>
    <w:rsid w:val="00917CB4"/>
    <w:rsid w:val="009243EA"/>
    <w:rsid w:val="009264CD"/>
    <w:rsid w:val="00930735"/>
    <w:rsid w:val="00933C86"/>
    <w:rsid w:val="00937CFC"/>
    <w:rsid w:val="0094074C"/>
    <w:rsid w:val="00940DE1"/>
    <w:rsid w:val="009420EF"/>
    <w:rsid w:val="009428C0"/>
    <w:rsid w:val="00944D37"/>
    <w:rsid w:val="00945257"/>
    <w:rsid w:val="0094600D"/>
    <w:rsid w:val="00947738"/>
    <w:rsid w:val="0095157A"/>
    <w:rsid w:val="0095173A"/>
    <w:rsid w:val="009635D1"/>
    <w:rsid w:val="00965F17"/>
    <w:rsid w:val="00971F75"/>
    <w:rsid w:val="009729FB"/>
    <w:rsid w:val="00972AA9"/>
    <w:rsid w:val="00976E1E"/>
    <w:rsid w:val="00977FAA"/>
    <w:rsid w:val="00981546"/>
    <w:rsid w:val="009856B9"/>
    <w:rsid w:val="009A2406"/>
    <w:rsid w:val="009A4088"/>
    <w:rsid w:val="009B2026"/>
    <w:rsid w:val="009C7869"/>
    <w:rsid w:val="009D0C5E"/>
    <w:rsid w:val="009D5878"/>
    <w:rsid w:val="009D5AA8"/>
    <w:rsid w:val="009D7DD2"/>
    <w:rsid w:val="009E2DAD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F3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BC"/>
    <w:rsid w:val="00A85A60"/>
    <w:rsid w:val="00A93FE5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08B4"/>
    <w:rsid w:val="00BB3493"/>
    <w:rsid w:val="00BC3CF1"/>
    <w:rsid w:val="00BD0CC5"/>
    <w:rsid w:val="00BD5D37"/>
    <w:rsid w:val="00BD75F1"/>
    <w:rsid w:val="00BE15CE"/>
    <w:rsid w:val="00BE3D56"/>
    <w:rsid w:val="00BE7658"/>
    <w:rsid w:val="00BF18A2"/>
    <w:rsid w:val="00BF2D73"/>
    <w:rsid w:val="00BF3FBB"/>
    <w:rsid w:val="00BF482D"/>
    <w:rsid w:val="00BF6FA3"/>
    <w:rsid w:val="00C02FCC"/>
    <w:rsid w:val="00C1151C"/>
    <w:rsid w:val="00C27608"/>
    <w:rsid w:val="00C309BD"/>
    <w:rsid w:val="00C40B40"/>
    <w:rsid w:val="00C448FE"/>
    <w:rsid w:val="00C46A33"/>
    <w:rsid w:val="00C476ED"/>
    <w:rsid w:val="00C53A20"/>
    <w:rsid w:val="00C56022"/>
    <w:rsid w:val="00C61B76"/>
    <w:rsid w:val="00C67203"/>
    <w:rsid w:val="00C67EDF"/>
    <w:rsid w:val="00C82C79"/>
    <w:rsid w:val="00C830CC"/>
    <w:rsid w:val="00C844EE"/>
    <w:rsid w:val="00C85B10"/>
    <w:rsid w:val="00C93FB8"/>
    <w:rsid w:val="00CA1044"/>
    <w:rsid w:val="00CA5825"/>
    <w:rsid w:val="00CB0C93"/>
    <w:rsid w:val="00CB13EB"/>
    <w:rsid w:val="00CB1A8E"/>
    <w:rsid w:val="00CC1D4A"/>
    <w:rsid w:val="00CC1EAF"/>
    <w:rsid w:val="00CC1F08"/>
    <w:rsid w:val="00CC2DBF"/>
    <w:rsid w:val="00CC3922"/>
    <w:rsid w:val="00CC6069"/>
    <w:rsid w:val="00CD5ACD"/>
    <w:rsid w:val="00CE4BAC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36D"/>
    <w:rsid w:val="00D56B3C"/>
    <w:rsid w:val="00D56D28"/>
    <w:rsid w:val="00D610FE"/>
    <w:rsid w:val="00D612C5"/>
    <w:rsid w:val="00D64E5E"/>
    <w:rsid w:val="00D7190D"/>
    <w:rsid w:val="00D75351"/>
    <w:rsid w:val="00D76080"/>
    <w:rsid w:val="00D77807"/>
    <w:rsid w:val="00D83A41"/>
    <w:rsid w:val="00D83CAE"/>
    <w:rsid w:val="00D84618"/>
    <w:rsid w:val="00D875C1"/>
    <w:rsid w:val="00D87B6B"/>
    <w:rsid w:val="00D94779"/>
    <w:rsid w:val="00D96231"/>
    <w:rsid w:val="00DA1BE0"/>
    <w:rsid w:val="00DA49D4"/>
    <w:rsid w:val="00DA6EE3"/>
    <w:rsid w:val="00DB033A"/>
    <w:rsid w:val="00DB1D17"/>
    <w:rsid w:val="00DB4EF7"/>
    <w:rsid w:val="00DB6BAE"/>
    <w:rsid w:val="00DC037E"/>
    <w:rsid w:val="00DC0E1E"/>
    <w:rsid w:val="00DC22AC"/>
    <w:rsid w:val="00DC2644"/>
    <w:rsid w:val="00DC3054"/>
    <w:rsid w:val="00DD2C3B"/>
    <w:rsid w:val="00DD42A8"/>
    <w:rsid w:val="00DD4304"/>
    <w:rsid w:val="00DE16FB"/>
    <w:rsid w:val="00DE275A"/>
    <w:rsid w:val="00DE7765"/>
    <w:rsid w:val="00DF0CD9"/>
    <w:rsid w:val="00DF320F"/>
    <w:rsid w:val="00E0088E"/>
    <w:rsid w:val="00E02570"/>
    <w:rsid w:val="00E02BAB"/>
    <w:rsid w:val="00E049DC"/>
    <w:rsid w:val="00E20956"/>
    <w:rsid w:val="00E20C5C"/>
    <w:rsid w:val="00E2588D"/>
    <w:rsid w:val="00E3266E"/>
    <w:rsid w:val="00E339D7"/>
    <w:rsid w:val="00E43401"/>
    <w:rsid w:val="00E4548E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118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2C0C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1F0F"/>
    <w:rsid w:val="00FA2855"/>
    <w:rsid w:val="00FA7C61"/>
    <w:rsid w:val="00FB0604"/>
    <w:rsid w:val="00FB2B9D"/>
    <w:rsid w:val="00FC3DE2"/>
    <w:rsid w:val="00FC784E"/>
    <w:rsid w:val="00FD3007"/>
    <w:rsid w:val="00FD5055"/>
    <w:rsid w:val="00FD5B19"/>
    <w:rsid w:val="00FE07A0"/>
    <w:rsid w:val="00FE2783"/>
    <w:rsid w:val="00FE3DAC"/>
    <w:rsid w:val="00FE4234"/>
    <w:rsid w:val="00FE6577"/>
    <w:rsid w:val="00FF0D5F"/>
    <w:rsid w:val="00FF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6668</Words>
  <Characters>38008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2017-09-26T12:32:00Z</cp:lastPrinted>
  <dcterms:created xsi:type="dcterms:W3CDTF">2017-11-02T09:02:00Z</dcterms:created>
  <dcterms:modified xsi:type="dcterms:W3CDTF">2017-11-02T09:02:00Z</dcterms:modified>
</cp:coreProperties>
</file>