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донском центре креативных индустрий прошел круглый стол с издательским бизнес-сообществом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Центре креативных индустрий Ростовской области (ЦКИ) обсудили сотрудничество органов власти и донского бизнеса по вопросам развития издательского рынка Дона, а также реализацию инициатив по кооперации игроков отрасли.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встрече присутствовали руководители таких крупных издательств и типографий, как «Феникс», «Аль-</w:t>
      </w:r>
      <w:r>
        <w:rPr>
          <w:rFonts w:ascii="Times New Roman" w:hAnsi="Times New Roman"/>
          <w:sz w:val="28"/>
        </w:rPr>
        <w:t>Пако</w:t>
      </w:r>
      <w:r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Проф</w:t>
      </w:r>
      <w:r>
        <w:rPr>
          <w:rFonts w:ascii="Times New Roman" w:hAnsi="Times New Roman"/>
          <w:sz w:val="28"/>
        </w:rPr>
        <w:t>-пресс», «</w:t>
      </w:r>
      <w:r>
        <w:rPr>
          <w:rFonts w:ascii="Times New Roman" w:hAnsi="Times New Roman"/>
          <w:sz w:val="28"/>
        </w:rPr>
        <w:t>ГеоДом</w:t>
      </w:r>
      <w:r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БимБиМон</w:t>
      </w:r>
      <w:r>
        <w:rPr>
          <w:rFonts w:ascii="Times New Roman" w:hAnsi="Times New Roman"/>
          <w:sz w:val="28"/>
        </w:rPr>
        <w:t>», «</w:t>
      </w:r>
      <w:r>
        <w:rPr>
          <w:rFonts w:ascii="Times New Roman" w:hAnsi="Times New Roman"/>
          <w:sz w:val="28"/>
        </w:rPr>
        <w:t>Аркол</w:t>
      </w:r>
      <w:r>
        <w:rPr>
          <w:rFonts w:ascii="Times New Roman" w:hAnsi="Times New Roman"/>
          <w:sz w:val="28"/>
        </w:rPr>
        <w:t>», «Омега-Принт» и представители Донской государственной публичной библиотеки.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Представители издательских компаний за круглым столом презентовали министру экономического развития Ростовской области Павлу Павлову свои предложения по поддержке издательского дела.  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Центральной темой круглого стола стало создание на Дону издательского кластера. Объединение усилий позволит крупным и малым компаниям повысить конкурентоспособность всего сектора, проводить совместные закупки, пользоваться единым складским комплексом, оптовыми скидками, снижать издержки на продвижение посредством совместного маркетинга.</w:t>
      </w:r>
    </w:p>
    <w:p w14:paraId="07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«В условиях цифровизации отрасль сталкивается с целым рядом преград для развития, включая рост себестоимости материалов полиграфических услуг, нехватку квалифицированных кадров, нерегулируемый оборот цифрового контента, – поделился исполнительный директор издательства «</w:t>
      </w:r>
      <w:r>
        <w:rPr>
          <w:rFonts w:ascii="Times New Roman" w:hAnsi="Times New Roman"/>
          <w:sz w:val="28"/>
        </w:rPr>
        <w:t>ГеоДом</w:t>
      </w:r>
      <w:r>
        <w:rPr>
          <w:rFonts w:ascii="Times New Roman" w:hAnsi="Times New Roman"/>
          <w:sz w:val="28"/>
        </w:rPr>
        <w:t xml:space="preserve">» Павел </w:t>
      </w:r>
      <w:r>
        <w:rPr>
          <w:rFonts w:ascii="Times New Roman" w:hAnsi="Times New Roman"/>
          <w:sz w:val="28"/>
        </w:rPr>
        <w:t>Полдышев</w:t>
      </w:r>
      <w:r>
        <w:rPr>
          <w:rFonts w:ascii="Times New Roman" w:hAnsi="Times New Roman"/>
          <w:sz w:val="28"/>
        </w:rPr>
        <w:t>. –  Сегодня в целях адаптации к новым вызовам мы сделали первый шаг к созданию издательского кластера, который станет «индустриальным лифтом» для его участников».</w:t>
      </w:r>
    </w:p>
    <w:p w14:paraId="08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донского минэкономразвития рассказал представителям издательского дела о доступных мерах господдержки.</w:t>
      </w:r>
    </w:p>
    <w:p w14:paraId="09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«Необходимые условия для комплексной поддержки креативного бизнеса, к которому и относится отрасль «книжное дело», созданы. В донском регионе в 2025 году был принят областной закон о развитии креативных индустрий, утверждена стратегия развития, в марте заработал реестр субъектов креативных индустрий. На сегодня в нем 115 участников. Одна из задач – к 2030 году увеличить вклад креативных индустрий в валовой региональный продукт вдвое – с 2,2% до 6%», – отметил Павел Павлов.</w:t>
      </w:r>
    </w:p>
    <w:p w14:paraId="0A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Дону для креативного сектора введены налоговые льготы по УСН, а также льготное микрофинансирование, льготный лизинг, бесплатные услуги по линии центра «Мой бизнес», добавил министр. Образовательная, маркетинговая и инфраструктурная поддержка осуществляется на базе Центра креативных индустрий.</w:t>
      </w:r>
    </w:p>
    <w:p w14:paraId="0B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«Мы уже видим точки взаимодействия, – поделился руководитель центра «Мой бизнес» АНО МФК «РРАПП» – оператора Центра креативных </w:t>
      </w:r>
      <w:r>
        <w:rPr>
          <w:rFonts w:ascii="Times New Roman" w:hAnsi="Times New Roman"/>
          <w:sz w:val="28"/>
        </w:rPr>
        <w:t xml:space="preserve">индустрий Виталий Зданевич,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Открывшийся</w:t>
      </w:r>
      <w:r>
        <w:rPr>
          <w:rFonts w:ascii="Times New Roman" w:hAnsi="Times New Roman"/>
          <w:sz w:val="28"/>
        </w:rPr>
        <w:t xml:space="preserve"> в феврале клуб продюсеров поможет издателям найти потенциальный креативный продукт, наладить прямой диалог с донскими авторами. Книжный клуб тоже можно организовать здесь, на площадке Центра креативных индустрий».</w:t>
      </w:r>
    </w:p>
    <w:p w14:paraId="0C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меры господдержки осуществляются по региональному проекту «Малое и среднее предпринимательство» нацпроекта «Эффективная и конкурентная экономика». </w:t>
      </w:r>
    </w:p>
    <w:p w14:paraId="0D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Информацию можно уточнить по телефону горячей линии центра «Мой бизнес» 8(804) 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в сообществе ВКонтакте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 и Telegram-канале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-9842</wp:posOffset>
            </wp:positionH>
            <wp:positionV relativeFrom="page">
              <wp:posOffset>2085336</wp:posOffset>
            </wp:positionV>
            <wp:extent cx="5940425" cy="3702844"/>
            <wp:effectExtent b="0" l="0" r="0" t="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3702844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2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2_ch"/>
    <w:link w:val="Style_10"/>
    <w:rPr>
      <w:color w:themeColor="text1" w:themeTint="D8" w:val="272727"/>
    </w:rPr>
  </w:style>
  <w:style w:styleId="Style_11" w:type="paragraph">
    <w:name w:val="Quote"/>
    <w:basedOn w:val="Style_2"/>
    <w:next w:val="Style_2"/>
    <w:link w:val="Style_11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1_ch" w:type="character">
    <w:name w:val="Quote"/>
    <w:basedOn w:val="Style_2_ch"/>
    <w:link w:val="Style_11"/>
    <w:rPr>
      <w:i w:val="1"/>
      <w:color w:themeColor="text1" w:themeTint="BF" w:val="404040"/>
    </w:rPr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List Paragraph"/>
    <w:basedOn w:val="Style_2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2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2_ch"/>
    <w:link w:val="Style_15"/>
    <w:rPr>
      <w:color w:themeColor="accent1" w:themeShade="BF" w:val="2F5496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2F5496"/>
      <w:sz w:val="40"/>
    </w:rPr>
  </w:style>
  <w:style w:styleId="Style_17" w:type="paragraph">
    <w:name w:val="Intense Reference"/>
    <w:basedOn w:val="Style_14"/>
    <w:link w:val="Style_17_ch"/>
    <w:rPr>
      <w:b w:val="1"/>
      <w:smallCaps w:val="1"/>
      <w:color w:themeColor="accent1" w:themeShade="BF" w:val="2F5496"/>
      <w:spacing w:val="5"/>
    </w:rPr>
  </w:style>
  <w:style w:styleId="Style_17_ch" w:type="character">
    <w:name w:val="Intense Reference"/>
    <w:basedOn w:val="Style_14_ch"/>
    <w:link w:val="Style_17"/>
    <w:rPr>
      <w:b w:val="1"/>
      <w:smallCaps w:val="1"/>
      <w:color w:themeColor="accent1" w:themeShade="BF" w:val="2F5496"/>
      <w:spacing w:val="5"/>
    </w:rPr>
  </w:style>
  <w:style w:styleId="Style_1" w:type="paragraph">
    <w:name w:val="Hyperlink"/>
    <w:basedOn w:val="Style_14"/>
    <w:link w:val="Style_1_ch"/>
    <w:rPr>
      <w:color w:themeColor="hyperlink" w:val="0563C1"/>
      <w:u w:val="single"/>
    </w:rPr>
  </w:style>
  <w:style w:styleId="Style_1_ch" w:type="character">
    <w:name w:val="Hyperlink"/>
    <w:basedOn w:val="Style_14_ch"/>
    <w:link w:val="Style_1"/>
    <w:rPr>
      <w:color w:themeColor="hyperlink" w:val="0563C1"/>
      <w:u w:val="single"/>
    </w:rPr>
  </w:style>
  <w:style w:styleId="Style_18" w:type="paragraph">
    <w:name w:val="Footnote"/>
    <w:link w:val="Style_1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Unresolved Mention"/>
    <w:basedOn w:val="Style_14"/>
    <w:link w:val="Style_23_ch"/>
    <w:rPr>
      <w:color w:val="605E5C"/>
      <w:shd w:fill="E1DFDD" w:val="clear"/>
    </w:rPr>
  </w:style>
  <w:style w:styleId="Style_23_ch" w:type="character">
    <w:name w:val="Unresolved Mention"/>
    <w:basedOn w:val="Style_14_ch"/>
    <w:link w:val="Style_23"/>
    <w:rPr>
      <w:color w:val="605E5C"/>
      <w:shd w:fill="E1DFDD" w:val="clear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tense Emphasis"/>
    <w:basedOn w:val="Style_14"/>
    <w:link w:val="Style_25_ch"/>
    <w:rPr>
      <w:i w:val="1"/>
      <w:color w:themeColor="accent1" w:themeShade="BF" w:val="2F5496"/>
    </w:rPr>
  </w:style>
  <w:style w:styleId="Style_25_ch" w:type="character">
    <w:name w:val="Intense Emphasis"/>
    <w:basedOn w:val="Style_14_ch"/>
    <w:link w:val="Style_25"/>
    <w:rPr>
      <w:i w:val="1"/>
      <w:color w:themeColor="accent1" w:themeShade="BF" w:val="2F5496"/>
    </w:rPr>
  </w:style>
  <w:style w:styleId="Style_26" w:type="paragraph">
    <w:name w:val="Intense Quote"/>
    <w:basedOn w:val="Style_2"/>
    <w:next w:val="Style_2"/>
    <w:link w:val="Style_2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2_ch"/>
    <w:link w:val="Style_26"/>
    <w:rPr>
      <w:i w:val="1"/>
      <w:color w:themeColor="accent1" w:themeShade="BF" w:val="2F5496"/>
    </w:rPr>
  </w:style>
  <w:style w:styleId="Style_27" w:type="paragraph">
    <w:name w:val="toc 5"/>
    <w:next w:val="Style_2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2"/>
    <w:next w:val="Style_2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2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2026-04-29T10:17:35Z</dcterms:created>
  <dcterms:modified xsi:type="dcterms:W3CDTF">2026-04-29T10:21:57Z</dcterms:modified>
</cp:coreProperties>
</file>