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69" w:before="269"/>
        <w:ind/>
        <w:jc w:val="right"/>
        <w:rPr>
          <w:rFonts w:ascii="Times New Roman" w:hAnsi="Times New Roman"/>
          <w:color w:val="020B22"/>
          <w:highlight w:val="white"/>
        </w:rPr>
      </w:pPr>
      <w:r>
        <w:rPr>
          <w:rFonts w:ascii="Times New Roman" w:hAnsi="Times New Roman"/>
          <w:color w:val="020B22"/>
          <w:highlight w:val="white"/>
        </w:rPr>
        <w:t>Приложение № 1</w:t>
      </w:r>
    </w:p>
    <w:p w14:paraId="02000000">
      <w:pPr>
        <w:spacing w:line="216" w:lineRule="auto"/>
        <w:ind w:firstLine="70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В Ростовской области продолжает работу реестр</w:t>
      </w:r>
      <w:r>
        <w:rPr>
          <w:rFonts w:ascii="Times New Roman" w:hAnsi="Times New Roman"/>
          <w:b w:val="1"/>
        </w:rPr>
        <w:t xml:space="preserve"> субъектов креативных (творческих) индустрий.</w:t>
      </w:r>
    </w:p>
    <w:p w14:paraId="03000000">
      <w:pPr>
        <w:spacing w:line="216" w:lineRule="auto"/>
        <w:ind w:firstLine="700"/>
        <w:rPr>
          <w:rFonts w:ascii="Times New Roman" w:hAnsi="Times New Roman"/>
          <w:b w:val="1"/>
        </w:rPr>
      </w:pPr>
    </w:p>
    <w:p w14:paraId="04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Творческие предприниматели из сферы </w:t>
      </w:r>
      <w:r>
        <w:rPr>
          <w:rFonts w:ascii="Times New Roman" w:hAnsi="Times New Roman"/>
          <w:color w:val="020B22"/>
          <w:highlight w:val="white"/>
        </w:rPr>
        <w:t xml:space="preserve">дизайна, архитектуры, разработки программного обеспечения, гастрономии, медиа, моды, кино и других направлений </w:t>
      </w:r>
      <w:r>
        <w:rPr>
          <w:rFonts w:ascii="Times New Roman" w:hAnsi="Times New Roman"/>
        </w:rPr>
        <w:t>могут подать заявку на включение в реестр и получить доступ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к системным мерам поддержки. </w:t>
      </w:r>
    </w:p>
    <w:p w14:paraId="05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Чтобы получить статус субъекта креативных индустрий</w:t>
      </w:r>
      <w:r>
        <w:rPr>
          <w:rFonts w:ascii="Times New Roman" w:hAnsi="Times New Roman"/>
        </w:rPr>
        <w:t xml:space="preserve"> и стать участником реестра необходимо</w:t>
      </w:r>
      <w:r>
        <w:rPr>
          <w:rFonts w:ascii="Times New Roman" w:hAnsi="Times New Roman"/>
          <w:b w:val="1"/>
        </w:rPr>
        <w:t xml:space="preserve"> выполнить несколько условий</w:t>
      </w:r>
      <w:r>
        <w:rPr>
          <w:rFonts w:ascii="Times New Roman" w:hAnsi="Times New Roman"/>
        </w:rPr>
        <w:t>, среди которых:</w:t>
      </w:r>
    </w:p>
    <w:p w14:paraId="06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государственная регистрация на территории Ростовской области;</w:t>
      </w:r>
    </w:p>
    <w:p w14:paraId="07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осуществление деятельности по</w:t>
      </w:r>
      <w:r>
        <w:rPr>
          <w:rFonts w:ascii="Times New Roman" w:hAnsi="Times New Roman"/>
        </w:rPr>
        <w:t xml:space="preserve"> ОКВЭД из перечня видов экономической деятельности в сфере креативных индустрий (приказ Министерства экономического развития Российской Федерации от 23.04.2025 № 266);</w:t>
      </w:r>
    </w:p>
    <w:p w14:paraId="08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отсутствие задолженности по налогам и сборам, а также ограничений, предусмотренных законодательством (процедуры банкротства, ликвидации и др.).</w:t>
      </w:r>
    </w:p>
    <w:p w14:paraId="09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>Предприниматели, чья деятельность соответствует установленным критериям, могут обратиться в министерство экономического развития Ростовской области или в центры «Мой бизнес» Ростовской области.</w:t>
      </w:r>
    </w:p>
    <w:p w14:paraId="0A000000">
      <w:pPr>
        <w:spacing w:line="216" w:lineRule="auto"/>
        <w:ind w:firstLine="567" w:left="142" w:right="57"/>
        <w:rPr>
          <w:b w:val="1"/>
        </w:rPr>
      </w:pPr>
      <w:r>
        <w:rPr>
          <w:rFonts w:ascii="Times New Roman" w:hAnsi="Times New Roman"/>
          <w:b w:val="1"/>
        </w:rPr>
        <w:t>Что дает включение в региональный реестр:</w:t>
      </w:r>
    </w:p>
    <w:p w14:paraId="0B000000">
      <w:pPr>
        <w:spacing w:line="216" w:lineRule="auto"/>
        <w:ind w:firstLine="567" w:left="142" w:right="57"/>
      </w:pPr>
      <w:r>
        <w:rPr>
          <w:rFonts w:ascii="Times New Roman" w:hAnsi="Times New Roman"/>
        </w:rPr>
        <w:t>бесплатная маркетинговая поддержка на базе центров «Мой бизнес» Ростовской области;</w:t>
      </w:r>
    </w:p>
    <w:p w14:paraId="0C000000">
      <w:pPr>
        <w:spacing w:line="216" w:lineRule="auto"/>
        <w:ind w:firstLine="567" w:left="142" w:right="57"/>
      </w:pPr>
      <w:r>
        <w:rPr>
          <w:rFonts w:ascii="Times New Roman" w:hAnsi="Times New Roman"/>
        </w:rPr>
        <w:t>резидентство</w:t>
      </w:r>
      <w:r>
        <w:rPr>
          <w:rFonts w:ascii="Times New Roman" w:hAnsi="Times New Roman"/>
        </w:rPr>
        <w:t xml:space="preserve"> в Центре креативных индустрий и Клубе продюсеров креативных индустрий;</w:t>
      </w:r>
    </w:p>
    <w:p w14:paraId="0D000000">
      <w:pPr>
        <w:spacing w:line="216" w:lineRule="auto"/>
        <w:ind w:firstLine="567" w:left="142" w:right="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льготный </w:t>
      </w:r>
      <w:r>
        <w:rPr>
          <w:rFonts w:ascii="Times New Roman" w:hAnsi="Times New Roman"/>
        </w:rPr>
        <w:t>микрофинансовый</w:t>
      </w:r>
      <w:r>
        <w:rPr>
          <w:rFonts w:ascii="Times New Roman" w:hAnsi="Times New Roman"/>
        </w:rPr>
        <w:t xml:space="preserve"> продукт </w:t>
      </w:r>
      <w:r>
        <w:rPr>
          <w:rFonts w:ascii="Times New Roman" w:hAnsi="Times New Roman"/>
        </w:rPr>
        <w:t xml:space="preserve">АНО МФК «Ростовского регионального агентства поддержки предпринимательства» «Креативный» от 3% до 5 </w:t>
      </w:r>
      <w:r>
        <w:rPr>
          <w:rFonts w:ascii="Times New Roman" w:hAnsi="Times New Roman"/>
        </w:rPr>
        <w:t>млн</w:t>
      </w:r>
      <w:r>
        <w:rPr>
          <w:rFonts w:ascii="Times New Roman" w:hAnsi="Times New Roman"/>
        </w:rPr>
        <w:t xml:space="preserve"> рублей;</w:t>
      </w:r>
    </w:p>
    <w:p w14:paraId="0E000000">
      <w:pPr>
        <w:spacing w:line="216" w:lineRule="auto"/>
        <w:ind w:firstLine="567" w:left="142" w:right="5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льготный лизинг АО «Региональная лизинговая компания Ростовской области» по продукту «Креативный» до 15 </w:t>
      </w:r>
      <w:r>
        <w:rPr>
          <w:rFonts w:ascii="Times New Roman" w:hAnsi="Times New Roman"/>
        </w:rPr>
        <w:t>млн</w:t>
      </w:r>
      <w:r>
        <w:rPr>
          <w:rFonts w:ascii="Times New Roman" w:hAnsi="Times New Roman"/>
        </w:rPr>
        <w:t xml:space="preserve"> рублей по ставке удорожания от 3% - для имущества российского производства, от 4% - для имущества иностранного производства;</w:t>
      </w:r>
    </w:p>
    <w:p w14:paraId="0F000000">
      <w:pPr>
        <w:spacing w:line="216" w:lineRule="auto"/>
        <w:ind w:firstLine="567" w:left="142" w:right="57"/>
        <w:rPr>
          <w:rFonts w:ascii="Times New Roman" w:hAnsi="Times New Roman"/>
        </w:rPr>
      </w:pPr>
      <w:r>
        <w:rPr>
          <w:rFonts w:ascii="Times New Roman" w:hAnsi="Times New Roman"/>
        </w:rPr>
        <w:t>поручительство НКО «Гарантийный фонд Ростовской области» до 100 млн рублей со стоимостью 0,25% годовых.</w:t>
      </w:r>
    </w:p>
    <w:p w14:paraId="10000000">
      <w:pPr>
        <w:spacing w:line="216" w:lineRule="auto"/>
        <w:ind w:firstLine="567" w:left="142" w:right="57"/>
      </w:pPr>
      <w:r>
        <w:rPr>
          <w:rFonts w:ascii="Times New Roman" w:hAnsi="Times New Roman"/>
        </w:rPr>
        <w:t xml:space="preserve">На региональном уровне приняты меры налогового стимулирования. Областным законом от 26.02.2026 № 417-ЗС установлены пониженные налоговые ставки по упрощенной системе налогообложения для креативных предпринимателей, в размере 4% и 10% соответственно. </w:t>
      </w:r>
    </w:p>
    <w:p w14:paraId="11000000">
      <w:pPr>
        <w:spacing w:line="216" w:lineRule="auto"/>
        <w:ind w:firstLine="567" w:left="142" w:right="57"/>
      </w:pPr>
      <w:r>
        <w:rPr>
          <w:rFonts w:ascii="Times New Roman" w:hAnsi="Times New Roman"/>
        </w:rPr>
        <w:t xml:space="preserve">Для IT компаний сохранены ранее действующие льготы (1% и 5%). </w:t>
      </w:r>
    </w:p>
    <w:p w14:paraId="12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Подробная информация о порядке вступления в реестр и доступных мерах поддержки размещена на официальном портале Правительства Ростовской области по ссылке </w:t>
      </w:r>
      <w:r>
        <w:rPr>
          <w:rFonts w:ascii="Times New Roman" w:hAnsi="Times New Roman"/>
          <w:color w:val="0000FF"/>
          <w:u w:val="single"/>
        </w:rPr>
        <w:fldChar w:fldCharType="begin"/>
      </w:r>
      <w:r>
        <w:rPr>
          <w:rFonts w:ascii="Times New Roman" w:hAnsi="Times New Roman"/>
          <w:color w:val="0000FF"/>
          <w:u w:val="single"/>
        </w:rPr>
        <w:instrText>HYPERLINK "https://www.donland.ru/activity/2999/"</w:instrText>
      </w:r>
      <w:r>
        <w:rPr>
          <w:rFonts w:ascii="Times New Roman" w:hAnsi="Times New Roman"/>
          <w:color w:val="0000FF"/>
          <w:u w:val="single"/>
        </w:rPr>
        <w:fldChar w:fldCharType="separate"/>
      </w:r>
      <w:r>
        <w:rPr>
          <w:rFonts w:ascii="Times New Roman" w:hAnsi="Times New Roman"/>
          <w:color w:val="0000FF"/>
          <w:u w:val="single"/>
        </w:rPr>
        <w:t>https://www.donland.ru/activity/2999/</w:t>
      </w:r>
      <w:r>
        <w:rPr>
          <w:rFonts w:ascii="Times New Roman" w:hAnsi="Times New Roman"/>
          <w:color w:val="0000FF"/>
          <w:u w:val="single"/>
        </w:rPr>
        <w:fldChar w:fldCharType="end"/>
      </w:r>
      <w:r>
        <w:rPr>
          <w:rFonts w:ascii="Times New Roman" w:hAnsi="Times New Roman"/>
        </w:rPr>
        <w:t xml:space="preserve"> .</w:t>
      </w:r>
    </w:p>
    <w:p w14:paraId="13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Бесплатные консультации можно получить по телефону «горячей линии» 8(804)333-32-31 через онлайн-чат на официальном сайте mbrostov.ru или посредством </w:t>
      </w:r>
      <w:r>
        <w:rPr>
          <w:rFonts w:ascii="Times New Roman" w:hAnsi="Times New Roman"/>
        </w:rPr>
        <w:t>соцсети</w:t>
      </w:r>
      <w:r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>ВКонтакте</w:t>
      </w:r>
      <w:r>
        <w:rPr>
          <w:rFonts w:ascii="Times New Roman" w:hAnsi="Times New Roman"/>
        </w:rPr>
        <w:t>» https://vk.com/mb_rostov и мессенджера MAX https://max.ru/id6164109350_biz.</w:t>
      </w:r>
    </w:p>
    <w:p w14:paraId="14000000">
      <w:pPr>
        <w:spacing w:line="216" w:lineRule="auto"/>
        <w:ind w:firstLine="709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Дополнительные разъяснения также можно получить у ответственного сотрудника министерства экономического развития Ростовской области по телефону: 8 (863) 240-56-28.</w:t>
      </w:r>
    </w:p>
    <w:p w14:paraId="15000000">
      <w:pPr>
        <w:rPr>
          <w:rFonts w:ascii="Times New Roman" w:hAnsi="Times New Roman"/>
        </w:rPr>
      </w:pPr>
    </w:p>
    <w:sectPr>
      <w:pgSz w:h="16838" w:orient="portrait" w:w="11906"/>
      <w:pgMar w:bottom="1134" w:footer="1134" w:gutter="0" w:header="1134" w:left="1304" w:right="737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ind/>
      <w:jc w:val="both"/>
    </w:pPr>
    <w:rPr>
      <w:sz w:val="28"/>
    </w:rPr>
  </w:style>
  <w:style w:default="1" w:styleId="Style_1_ch" w:type="character">
    <w:name w:val="Normal"/>
    <w:link w:val="Style_1"/>
    <w:rPr>
      <w:sz w:val="28"/>
    </w:rPr>
  </w:style>
  <w:style w:styleId="Style_2" w:type="paragraph">
    <w:name w:val="toc 2"/>
    <w:next w:val="Style_1"/>
    <w:link w:val="Style_2_ch"/>
    <w:uiPriority w:val="39"/>
    <w:pPr>
      <w:ind w:left="200"/>
    </w:pPr>
    <w:rPr>
      <w:sz w:val="28"/>
    </w:rPr>
  </w:style>
  <w:style w:styleId="Style_2_ch" w:type="character">
    <w:name w:val="toc 2"/>
    <w:link w:val="Style_2"/>
    <w:rPr>
      <w:sz w:val="28"/>
    </w:rPr>
  </w:style>
  <w:style w:styleId="Style_3" w:type="paragraph">
    <w:name w:val="Гиперссылка1"/>
    <w:link w:val="Style_3_ch"/>
    <w:rPr>
      <w:color w:val="0000FF"/>
      <w:u w:val="single"/>
    </w:rPr>
  </w:style>
  <w:style w:styleId="Style_3_ch" w:type="character">
    <w:name w:val="Гиперссылка1"/>
    <w:link w:val="Style_3"/>
    <w:rPr>
      <w:color w:val="0000FF"/>
      <w:u w:val="single"/>
    </w:rPr>
  </w:style>
  <w:style w:styleId="Style_4" w:type="paragraph">
    <w:name w:val="toc 4"/>
    <w:next w:val="Style_1"/>
    <w:link w:val="Style_4_ch"/>
    <w:uiPriority w:val="39"/>
    <w:pPr>
      <w:ind w:left="600"/>
    </w:pPr>
    <w:rPr>
      <w:sz w:val="28"/>
    </w:rPr>
  </w:style>
  <w:style w:styleId="Style_4_ch" w:type="character">
    <w:name w:val="toc 4"/>
    <w:link w:val="Style_4"/>
    <w:rPr>
      <w:sz w:val="28"/>
    </w:rPr>
  </w:style>
  <w:style w:styleId="Style_5" w:type="paragraph">
    <w:name w:val="toc 6"/>
    <w:next w:val="Style_1"/>
    <w:link w:val="Style_5_ch"/>
    <w:uiPriority w:val="39"/>
    <w:pPr>
      <w:ind w:left="1000"/>
    </w:pPr>
    <w:rPr>
      <w:sz w:val="28"/>
    </w:rPr>
  </w:style>
  <w:style w:styleId="Style_5_ch" w:type="character">
    <w:name w:val="toc 6"/>
    <w:link w:val="Style_5"/>
    <w:rPr>
      <w:sz w:val="28"/>
    </w:rPr>
  </w:style>
  <w:style w:styleId="Style_6" w:type="paragraph">
    <w:name w:val="toc 7"/>
    <w:next w:val="Style_1"/>
    <w:link w:val="Style_6_ch"/>
    <w:uiPriority w:val="39"/>
    <w:pPr>
      <w:ind w:left="1200"/>
    </w:pPr>
    <w:rPr>
      <w:sz w:val="28"/>
    </w:rPr>
  </w:style>
  <w:style w:styleId="Style_6_ch" w:type="character">
    <w:name w:val="toc 7"/>
    <w:link w:val="Style_6"/>
    <w:rPr>
      <w:sz w:val="28"/>
    </w:rPr>
  </w:style>
  <w:style w:styleId="Style_7" w:type="paragraph">
    <w:name w:val="Endnote"/>
    <w:link w:val="Style_7_ch"/>
    <w:pPr>
      <w:ind w:firstLine="851"/>
      <w:jc w:val="both"/>
    </w:pPr>
    <w:rPr>
      <w:sz w:val="22"/>
    </w:rPr>
  </w:style>
  <w:style w:styleId="Style_7_ch" w:type="character">
    <w:name w:val="Endnote"/>
    <w:link w:val="Style_7"/>
    <w:rPr>
      <w:sz w:val="22"/>
    </w:rPr>
  </w:style>
  <w:style w:styleId="Style_8" w:type="paragraph">
    <w:name w:val="heading 3"/>
    <w:next w:val="Style_1"/>
    <w:link w:val="Style_8_ch"/>
    <w:uiPriority w:val="9"/>
    <w:qFormat/>
    <w:pPr>
      <w:spacing w:after="120" w:before="120"/>
      <w:ind/>
      <w:jc w:val="both"/>
      <w:outlineLvl w:val="2"/>
    </w:pPr>
    <w:rPr>
      <w:b w:val="1"/>
      <w:sz w:val="26"/>
    </w:rPr>
  </w:style>
  <w:style w:styleId="Style_8_ch" w:type="character">
    <w:name w:val="heading 3"/>
    <w:link w:val="Style_8"/>
    <w:rPr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1"/>
    <w:link w:val="Style_10_ch"/>
    <w:uiPriority w:val="39"/>
    <w:pPr>
      <w:ind w:left="400"/>
    </w:pPr>
    <w:rPr>
      <w:sz w:val="28"/>
    </w:rPr>
  </w:style>
  <w:style w:styleId="Style_10_ch" w:type="character">
    <w:name w:val="toc 3"/>
    <w:link w:val="Style_10"/>
    <w:rPr>
      <w:sz w:val="28"/>
    </w:rPr>
  </w:style>
  <w:style w:styleId="Style_11" w:type="paragraph">
    <w:name w:val="Обычный1"/>
    <w:link w:val="Style_11_ch"/>
    <w:rPr>
      <w:rFonts w:ascii="XO Thames" w:hAnsi="XO Thames"/>
      <w:sz w:val="28"/>
    </w:rPr>
  </w:style>
  <w:style w:styleId="Style_11_ch" w:type="character">
    <w:name w:val="Обычный1"/>
    <w:link w:val="Style_11"/>
    <w:rPr>
      <w:rFonts w:ascii="XO Thames" w:hAnsi="XO Thames"/>
      <w:sz w:val="28"/>
    </w:rPr>
  </w:style>
  <w:style w:styleId="Style_12" w:type="paragraph">
    <w:name w:val="heading 5"/>
    <w:next w:val="Style_1"/>
    <w:link w:val="Style_12_ch"/>
    <w:uiPriority w:val="9"/>
    <w:qFormat/>
    <w:pPr>
      <w:spacing w:after="120" w:before="120"/>
      <w:ind/>
      <w:jc w:val="both"/>
      <w:outlineLvl w:val="4"/>
    </w:pPr>
    <w:rPr>
      <w:b w:val="1"/>
      <w:sz w:val="22"/>
    </w:rPr>
  </w:style>
  <w:style w:styleId="Style_12_ch" w:type="character">
    <w:name w:val="heading 5"/>
    <w:link w:val="Style_12"/>
    <w:rPr>
      <w:b w:val="1"/>
      <w:sz w:val="22"/>
    </w:rPr>
  </w:style>
  <w:style w:styleId="Style_13" w:type="paragraph">
    <w:name w:val="heading 1"/>
    <w:next w:val="Style_1"/>
    <w:link w:val="Style_13_ch"/>
    <w:uiPriority w:val="9"/>
    <w:qFormat/>
    <w:pPr>
      <w:spacing w:after="120" w:before="120"/>
      <w:ind/>
      <w:jc w:val="both"/>
      <w:outlineLvl w:val="0"/>
    </w:pPr>
    <w:rPr>
      <w:b w:val="1"/>
      <w:sz w:val="32"/>
    </w:rPr>
  </w:style>
  <w:style w:styleId="Style_13_ch" w:type="character">
    <w:name w:val="heading 1"/>
    <w:link w:val="Style_13"/>
    <w:rPr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/>
      <w:jc w:val="both"/>
    </w:pPr>
    <w:rPr>
      <w:sz w:val="22"/>
    </w:rPr>
  </w:style>
  <w:style w:styleId="Style_15_ch" w:type="character">
    <w:name w:val="Footnote"/>
    <w:link w:val="Style_15"/>
    <w:rPr>
      <w:sz w:val="22"/>
    </w:rPr>
  </w:style>
  <w:style w:styleId="Style_16" w:type="paragraph">
    <w:name w:val="toc 1"/>
    <w:next w:val="Style_1"/>
    <w:link w:val="Style_16_ch"/>
    <w:uiPriority w:val="39"/>
    <w:rPr>
      <w:b w:val="1"/>
      <w:sz w:val="28"/>
    </w:rPr>
  </w:style>
  <w:style w:styleId="Style_16_ch" w:type="character">
    <w:name w:val="toc 1"/>
    <w:link w:val="Style_16"/>
    <w:rPr>
      <w:b w:val="1"/>
      <w:sz w:val="28"/>
    </w:rPr>
  </w:style>
  <w:style w:styleId="Style_17" w:type="paragraph">
    <w:name w:val="Header and Footer"/>
    <w:link w:val="Style_17_ch"/>
    <w:pPr>
      <w:ind/>
      <w:jc w:val="both"/>
    </w:pPr>
    <w:rPr>
      <w:sz w:val="28"/>
    </w:rPr>
  </w:style>
  <w:style w:styleId="Style_17_ch" w:type="character">
    <w:name w:val="Header and Footer"/>
    <w:link w:val="Style_17"/>
    <w:rPr>
      <w:sz w:val="28"/>
    </w:rPr>
  </w:style>
  <w:style w:styleId="Style_18" w:type="paragraph">
    <w:name w:val="toc 9"/>
    <w:next w:val="Style_1"/>
    <w:link w:val="Style_18_ch"/>
    <w:uiPriority w:val="39"/>
    <w:pPr>
      <w:ind w:left="1600"/>
    </w:pPr>
    <w:rPr>
      <w:sz w:val="28"/>
    </w:rPr>
  </w:style>
  <w:style w:styleId="Style_18_ch" w:type="character">
    <w:name w:val="toc 9"/>
    <w:link w:val="Style_18"/>
    <w:rPr>
      <w:sz w:val="28"/>
    </w:rPr>
  </w:style>
  <w:style w:styleId="Style_19" w:type="paragraph">
    <w:name w:val="toc 8"/>
    <w:next w:val="Style_1"/>
    <w:link w:val="Style_19_ch"/>
    <w:uiPriority w:val="39"/>
    <w:pPr>
      <w:ind w:left="1400"/>
    </w:pPr>
    <w:rPr>
      <w:sz w:val="28"/>
    </w:rPr>
  </w:style>
  <w:style w:styleId="Style_19_ch" w:type="character">
    <w:name w:val="toc 8"/>
    <w:link w:val="Style_19"/>
    <w:rPr>
      <w:sz w:val="28"/>
    </w:rPr>
  </w:style>
  <w:style w:styleId="Style_20" w:type="paragraph">
    <w:name w:val="toc 5"/>
    <w:next w:val="Style_1"/>
    <w:link w:val="Style_20_ch"/>
    <w:uiPriority w:val="39"/>
    <w:pPr>
      <w:ind w:left="800"/>
    </w:pPr>
    <w:rPr>
      <w:sz w:val="28"/>
    </w:rPr>
  </w:style>
  <w:style w:styleId="Style_20_ch" w:type="character">
    <w:name w:val="toc 5"/>
    <w:link w:val="Style_20"/>
    <w:rPr>
      <w:sz w:val="28"/>
    </w:rPr>
  </w:style>
  <w:style w:styleId="Style_21" w:type="paragraph">
    <w:name w:val="Subtitle"/>
    <w:next w:val="Style_1"/>
    <w:link w:val="Style_21_ch"/>
    <w:uiPriority w:val="11"/>
    <w:qFormat/>
    <w:pPr>
      <w:ind/>
      <w:jc w:val="both"/>
    </w:pPr>
    <w:rPr>
      <w:i w:val="1"/>
    </w:rPr>
  </w:style>
  <w:style w:styleId="Style_21_ch" w:type="character">
    <w:name w:val="Subtitle"/>
    <w:link w:val="Style_21"/>
    <w:rPr>
      <w:i w:val="1"/>
    </w:rPr>
  </w:style>
  <w:style w:styleId="Style_22" w:type="paragraph">
    <w:name w:val="Title"/>
    <w:next w:val="Style_1"/>
    <w:link w:val="Style_22_ch"/>
    <w:uiPriority w:val="10"/>
    <w:qFormat/>
    <w:pPr>
      <w:spacing w:after="567" w:before="567"/>
      <w:ind/>
      <w:jc w:val="center"/>
    </w:pPr>
    <w:rPr>
      <w:b w:val="1"/>
      <w:caps w:val="1"/>
      <w:sz w:val="40"/>
    </w:rPr>
  </w:style>
  <w:style w:styleId="Style_22_ch" w:type="character">
    <w:name w:val="Title"/>
    <w:link w:val="Style_22"/>
    <w:rPr>
      <w:b w:val="1"/>
      <w:caps w:val="1"/>
      <w:sz w:val="40"/>
    </w:rPr>
  </w:style>
  <w:style w:styleId="Style_23" w:type="paragraph">
    <w:name w:val="heading 4"/>
    <w:next w:val="Style_1"/>
    <w:link w:val="Style_23_ch"/>
    <w:uiPriority w:val="9"/>
    <w:qFormat/>
    <w:pPr>
      <w:spacing w:after="120" w:before="120"/>
      <w:ind/>
      <w:jc w:val="both"/>
      <w:outlineLvl w:val="3"/>
    </w:pPr>
    <w:rPr>
      <w:b w:val="1"/>
    </w:rPr>
  </w:style>
  <w:style w:styleId="Style_23_ch" w:type="character">
    <w:name w:val="heading 4"/>
    <w:link w:val="Style_23"/>
    <w:rPr>
      <w:b w:val="1"/>
    </w:rPr>
  </w:style>
  <w:style w:styleId="Style_24" w:type="paragraph">
    <w:name w:val="heading 2"/>
    <w:next w:val="Style_1"/>
    <w:link w:val="Style_24_ch"/>
    <w:uiPriority w:val="9"/>
    <w:qFormat/>
    <w:pPr>
      <w:spacing w:after="120" w:before="120"/>
      <w:ind/>
      <w:jc w:val="both"/>
      <w:outlineLvl w:val="1"/>
    </w:pPr>
    <w:rPr>
      <w:b w:val="1"/>
      <w:sz w:val="28"/>
    </w:rPr>
  </w:style>
  <w:style w:styleId="Style_24_ch" w:type="character">
    <w:name w:val="heading 2"/>
    <w:link w:val="Style_24"/>
    <w:rPr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MyOffice-CoreFramework-Linux/34-1238.862.9476.867.1@6a6f965769ddd834e814912714f1fa4bc0274a9d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2026-07-06T08:43:55Z</dcterms:modified>
</cp:coreProperties>
</file>